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04" w:rsidRDefault="00906504" w:rsidP="00906504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Рішення науково-методичної ради</w:t>
      </w:r>
    </w:p>
    <w:p w:rsidR="00906504" w:rsidRDefault="00906504" w:rsidP="00906504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Комунального закладу Львівської обласної ради</w:t>
      </w:r>
    </w:p>
    <w:p w:rsidR="00906504" w:rsidRDefault="00906504" w:rsidP="00906504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«Львівський обласний інститут післядипломної педагогічної освіти»</w:t>
      </w:r>
    </w:p>
    <w:p w:rsidR="00906504" w:rsidRDefault="00906504" w:rsidP="0090650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6504" w:rsidRDefault="00906504" w:rsidP="00906504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28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вересня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2023 р.                                                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Протокол № 9-2</w:t>
      </w:r>
    </w:p>
    <w:p w:rsidR="00906504" w:rsidRDefault="00906504" w:rsidP="0090650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6504" w:rsidRDefault="00906504" w:rsidP="00906504">
      <w:pPr>
        <w:spacing w:after="0" w:line="240" w:lineRule="auto"/>
        <w:ind w:left="-142"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Присутні члени ради: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Павло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ХОБЗЕЙ, Микола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КАЦЮБА, Марта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З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НАК,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 ТОДЧУК, Олена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ЦОГЛА. Сергій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ПАЗЮК, Галина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ВАРХОЛИК,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Юрій ГАР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МАТІЙ,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Ірина СУХОВ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ЕРСЬКА,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Ліліан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 КУДРИК,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Наталія 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СТУШЕНКО, Олена СТАДНИК, Ірина СИНЯ,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Леся 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ГРИЗА,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Ігор 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АНЧИН,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Тетяня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ДОЛЖИКОВА</w:t>
      </w:r>
    </w:p>
    <w:p w:rsidR="00906504" w:rsidRDefault="00906504" w:rsidP="00906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6504" w:rsidRDefault="00906504" w:rsidP="00906504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Про схвалення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освітніх програм підвищення </w:t>
      </w:r>
    </w:p>
    <w:p w:rsidR="00906504" w:rsidRDefault="00906504" w:rsidP="00906504">
      <w:pPr>
        <w:spacing w:after="0" w:line="240" w:lineRule="auto"/>
        <w:ind w:hanging="14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кваліфікації педагогічних працівників </w:t>
      </w:r>
    </w:p>
    <w:p w:rsidR="00906504" w:rsidRDefault="00C63ADF" w:rsidP="00906504">
      <w:pPr>
        <w:spacing w:after="0" w:line="240" w:lineRule="auto"/>
        <w:ind w:hanging="142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тривалістю 8, 12 та 16 </w:t>
      </w:r>
      <w:r w:rsidR="00906504">
        <w:rPr>
          <w:rFonts w:ascii="Times New Roman" w:eastAsia="Times New Roman" w:hAnsi="Times New Roman"/>
          <w:b/>
          <w:sz w:val="28"/>
          <w:szCs w:val="28"/>
        </w:rPr>
        <w:t>год. кафедри освітньої політики</w:t>
      </w:r>
    </w:p>
    <w:p w:rsidR="00906504" w:rsidRDefault="00906504" w:rsidP="00906504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906504" w:rsidRDefault="00906504" w:rsidP="009065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Заслухавши та обговоривши інформацію Миколи КАЦЮБИ, заступника директора з науково-педагогічної роботи про зміст освітніх програм підвищення кваліфікації педагогічних працівників тривалістю </w:t>
      </w:r>
      <w:r w:rsidR="00C63A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8, 12 та 16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год., науково-методична рада</w:t>
      </w:r>
    </w:p>
    <w:p w:rsidR="00906504" w:rsidRDefault="00906504" w:rsidP="00906504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</w:t>
      </w:r>
    </w:p>
    <w:p w:rsidR="00906504" w:rsidRDefault="00906504" w:rsidP="00906504">
      <w:pPr>
        <w:spacing w:after="0" w:line="240" w:lineRule="auto"/>
        <w:ind w:hanging="1080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</w:t>
      </w:r>
    </w:p>
    <w:p w:rsidR="00906504" w:rsidRDefault="00906504" w:rsidP="00906504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схвалює:</w:t>
      </w:r>
    </w:p>
    <w:p w:rsidR="00906504" w:rsidRDefault="00906504" w:rsidP="00906504">
      <w:pPr>
        <w:spacing w:after="0" w:line="240" w:lineRule="auto"/>
        <w:ind w:hanging="108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906504" w:rsidRDefault="00906504" w:rsidP="00906504">
      <w:pPr>
        <w:spacing w:after="0" w:line="240" w:lineRule="auto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освітні програми підвищення кваліфікації педаго</w:t>
      </w:r>
      <w:r w:rsidR="00C63A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гічних працівників тривалістю 8, 12 та 16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год. кафедри освіт</w:t>
      </w:r>
      <w:r w:rsidR="00C63AD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ньої політики подані у додатку 2.</w:t>
      </w:r>
    </w:p>
    <w:p w:rsidR="00906504" w:rsidRDefault="00906504" w:rsidP="00906504">
      <w:pPr>
        <w:spacing w:after="0" w:line="240" w:lineRule="auto"/>
        <w:ind w:hanging="1080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6504" w:rsidRDefault="00906504" w:rsidP="00906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6504" w:rsidRDefault="00906504" w:rsidP="00906504">
      <w:pPr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</w:t>
      </w:r>
    </w:p>
    <w:p w:rsidR="00906504" w:rsidRDefault="00906504" w:rsidP="00906504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Рішення прийнято:</w:t>
      </w:r>
    </w:p>
    <w:p w:rsidR="00906504" w:rsidRDefault="00906504" w:rsidP="00906504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«за»___17______</w:t>
      </w:r>
    </w:p>
    <w:p w:rsidR="00906504" w:rsidRDefault="00906504" w:rsidP="00906504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«проти»_____0____</w:t>
      </w:r>
    </w:p>
    <w:p w:rsidR="00906504" w:rsidRDefault="00906504" w:rsidP="00906504">
      <w:pPr>
        <w:spacing w:after="0" w:line="240" w:lineRule="auto"/>
        <w:ind w:hanging="1080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«утримались»__0_____</w:t>
      </w:r>
    </w:p>
    <w:p w:rsidR="00906504" w:rsidRDefault="00906504" w:rsidP="009065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6504" w:rsidRDefault="00906504" w:rsidP="00906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6504" w:rsidRDefault="00906504" w:rsidP="00906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6504" w:rsidRDefault="00906504" w:rsidP="00906504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Голова ради                                      Павло ХОБЗЕЙ</w:t>
      </w:r>
    </w:p>
    <w:p w:rsidR="00906504" w:rsidRDefault="00906504" w:rsidP="00906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06504" w:rsidRDefault="00906504" w:rsidP="0090650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906504" w:rsidRDefault="00906504" w:rsidP="0090650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Секретар    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Марта ЗНАК</w:t>
      </w:r>
    </w:p>
    <w:p w:rsidR="00906504" w:rsidRDefault="00906504" w:rsidP="00906504">
      <w:pPr>
        <w:spacing w:after="0"/>
        <w:rPr>
          <w:rFonts w:ascii="Times New Roman" w:hAnsi="Times New Roman"/>
          <w:sz w:val="28"/>
          <w:szCs w:val="28"/>
        </w:rPr>
      </w:pPr>
    </w:p>
    <w:p w:rsidR="00906504" w:rsidRDefault="00906504" w:rsidP="00906504">
      <w:pPr>
        <w:spacing w:after="0"/>
        <w:rPr>
          <w:rFonts w:ascii="Times New Roman" w:hAnsi="Times New Roman"/>
          <w:sz w:val="28"/>
          <w:szCs w:val="28"/>
        </w:rPr>
      </w:pPr>
    </w:p>
    <w:p w:rsidR="00906504" w:rsidRDefault="00906504" w:rsidP="00906504">
      <w:pPr>
        <w:spacing w:after="0"/>
        <w:rPr>
          <w:rFonts w:ascii="Times New Roman" w:hAnsi="Times New Roman"/>
          <w:sz w:val="28"/>
          <w:szCs w:val="28"/>
        </w:rPr>
      </w:pPr>
    </w:p>
    <w:p w:rsidR="00906504" w:rsidRDefault="00906504" w:rsidP="00906504">
      <w:pPr>
        <w:spacing w:after="0"/>
        <w:rPr>
          <w:rFonts w:ascii="Times New Roman" w:hAnsi="Times New Roman"/>
          <w:sz w:val="28"/>
          <w:szCs w:val="28"/>
        </w:rPr>
      </w:pPr>
    </w:p>
    <w:p w:rsidR="00906504" w:rsidRDefault="00906504" w:rsidP="00906504">
      <w:pPr>
        <w:spacing w:after="0" w:line="256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Додаток</w:t>
      </w:r>
      <w:r w:rsidR="00C63ADF">
        <w:rPr>
          <w:rFonts w:ascii="Times New Roman" w:eastAsia="Times New Roman" w:hAnsi="Times New Roman"/>
          <w:b/>
          <w:bCs/>
          <w:sz w:val="28"/>
          <w:szCs w:val="28"/>
        </w:rPr>
        <w:t xml:space="preserve"> 2</w:t>
      </w:r>
    </w:p>
    <w:p w:rsidR="00906504" w:rsidRDefault="00906504" w:rsidP="00906504">
      <w:pPr>
        <w:spacing w:after="0" w:line="256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6504" w:rsidRDefault="00906504" w:rsidP="0090650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схвалення освітніх програм підвищення кваліфікації педаго</w:t>
      </w:r>
      <w:r w:rsidR="00C63A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гічних працівників тривалістю 8, 12 та 16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год. кафедри освітньої політики</w:t>
      </w:r>
    </w:p>
    <w:p w:rsidR="00C63ADF" w:rsidRDefault="00C63ADF" w:rsidP="0090650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705"/>
        <w:gridCol w:w="3180"/>
        <w:gridCol w:w="2475"/>
        <w:gridCol w:w="2534"/>
        <w:gridCol w:w="850"/>
      </w:tblGrid>
      <w:tr w:rsidR="00C63ADF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C63ADF" w:rsidRPr="00C63ADF" w:rsidRDefault="00C63ADF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63ADF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C63ADF" w:rsidRPr="00C63ADF" w:rsidRDefault="00C63ADF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63ADF">
              <w:rPr>
                <w:rFonts w:ascii="Times New Roman" w:eastAsia="Times New Roman" w:hAnsi="Times New Roman"/>
                <w:b/>
                <w:sz w:val="24"/>
              </w:rPr>
              <w:t>Назва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C63ADF" w:rsidRPr="00C63ADF" w:rsidRDefault="00C63ADF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63ADF">
              <w:rPr>
                <w:rFonts w:ascii="Times New Roman" w:eastAsia="Times New Roman" w:hAnsi="Times New Roman"/>
                <w:b/>
                <w:sz w:val="24"/>
              </w:rPr>
              <w:t>Автори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C63ADF" w:rsidRPr="00C63ADF" w:rsidRDefault="00C63ADF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63ADF">
              <w:rPr>
                <w:rFonts w:ascii="Times New Roman" w:eastAsia="Times New Roman" w:hAnsi="Times New Roman"/>
                <w:b/>
                <w:sz w:val="24"/>
              </w:rPr>
              <w:t>Кафедра, що подала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3ADF" w:rsidRPr="00C63ADF" w:rsidRDefault="00C63ADF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C63ADF">
              <w:rPr>
                <w:rFonts w:ascii="Times New Roman" w:eastAsia="Times New Roman" w:hAnsi="Times New Roman"/>
                <w:b/>
                <w:sz w:val="24"/>
              </w:rPr>
              <w:t>Код</w:t>
            </w:r>
          </w:p>
        </w:tc>
      </w:tr>
      <w:tr w:rsidR="00C63ADF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C63ADF" w:rsidRPr="00C63ADF" w:rsidRDefault="00C63ADF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C63AD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C63ADF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1965B2">
              <w:rPr>
                <w:rFonts w:ascii="Times New Roman" w:eastAsia="Times New Roman" w:hAnsi="Times New Roman"/>
              </w:rPr>
              <w:t>Освітня програма підвищення кваліфікації  вчителів інформатики «Проблеми впровадження Державного стандарту базової середньої освіти та модельних програм  з інформатики у 5-6 класах НУШ та шляхи їх вирішення»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1965B2" w:rsidRPr="00C63ADF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(8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C63ADF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Лілія ПАЛЮШОК,</w:t>
            </w:r>
          </w:p>
          <w:p w:rsidR="001965B2" w:rsidRPr="00C63ADF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Надія МАНЬКО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C63ADF" w:rsidRPr="00C63ADF" w:rsidRDefault="00C63ADF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C63ADF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3ADF" w:rsidRPr="00C63ADF" w:rsidRDefault="001965B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268</w:t>
            </w:r>
          </w:p>
        </w:tc>
      </w:tr>
      <w:tr w:rsidR="001965B2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1965B2" w:rsidRPr="00C63ADF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1965B2">
              <w:rPr>
                <w:rFonts w:ascii="Times New Roman" w:eastAsia="Times New Roman" w:hAnsi="Times New Roman"/>
              </w:rPr>
              <w:t>Освітня програма підвищення кваліфікації  учителів технологічної освітньої галузі  з впровадження  Державного стандарту базової середньої освіти за освітніми галузями. Програму розроблена на основі Типової програми підвищення кваліфікації вчителів закладів загальної середньої освіти «Нова українська школа: адаптаційний цикл базової середньої освіти»</w:t>
            </w:r>
          </w:p>
          <w:p w:rsidR="001965B2" w:rsidRP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(8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Зоряна САФ’ЯНЮК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1965B2" w:rsidRPr="00C63ADF" w:rsidRDefault="001965B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1965B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65B2" w:rsidRDefault="001965B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269</w:t>
            </w:r>
          </w:p>
        </w:tc>
      </w:tr>
      <w:tr w:rsidR="001965B2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  <w:bCs/>
              </w:rPr>
            </w:pPr>
            <w:r w:rsidRPr="001965B2">
              <w:rPr>
                <w:rFonts w:ascii="Times New Roman" w:eastAsia="Times New Roman" w:hAnsi="Times New Roman"/>
              </w:rPr>
              <w:t xml:space="preserve">Освітня </w:t>
            </w:r>
            <w:r w:rsidRPr="001965B2">
              <w:rPr>
                <w:rFonts w:ascii="Times New Roman" w:eastAsia="Times New Roman" w:hAnsi="Times New Roman"/>
                <w:bCs/>
              </w:rPr>
              <w:t xml:space="preserve">програма підвищення кваліфікації </w:t>
            </w:r>
            <w:r w:rsidRPr="001965B2">
              <w:rPr>
                <w:rFonts w:ascii="Times New Roman" w:eastAsia="Times New Roman" w:hAnsi="Times New Roman"/>
              </w:rPr>
              <w:t xml:space="preserve">вчителів музичного мистецтва </w:t>
            </w:r>
            <w:r w:rsidRPr="001965B2">
              <w:rPr>
                <w:rFonts w:ascii="Times New Roman" w:eastAsia="Times New Roman" w:hAnsi="Times New Roman"/>
                <w:bCs/>
              </w:rPr>
              <w:t>«Впровадження реформи НУШ у першому (адаптивному) циклі / 5-6-их класах закладів загальної середньої освіти»</w:t>
            </w:r>
          </w:p>
          <w:p w:rsidR="001965B2" w:rsidRP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(8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Олександра ГУРИН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1965B2" w:rsidRPr="001965B2" w:rsidRDefault="001965B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1965B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65B2" w:rsidRDefault="001965B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270</w:t>
            </w:r>
          </w:p>
        </w:tc>
      </w:tr>
      <w:tr w:rsidR="001965B2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1965B2">
              <w:rPr>
                <w:rFonts w:ascii="Times New Roman" w:eastAsia="Times New Roman" w:hAnsi="Times New Roman"/>
              </w:rPr>
              <w:t>Освітня програма підвищення кваліфікації учителів основ здоров'я для роботи за новим державним стандартом базової середньої освіти:  Інтегрований курс  «Здоров'я, безпека та добробут» у Новій  українській школі (Особливості завершенн</w:t>
            </w:r>
            <w:r>
              <w:rPr>
                <w:rFonts w:ascii="Times New Roman" w:eastAsia="Times New Roman" w:hAnsi="Times New Roman"/>
              </w:rPr>
              <w:t>я  адаптаційного циклу, 6 клас)</w:t>
            </w:r>
          </w:p>
          <w:p w:rsidR="001965B2" w:rsidRP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(12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Олена ШИЯН,</w:t>
            </w:r>
          </w:p>
          <w:p w:rsid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Ольга ВОЛОЩЕНКО,</w:t>
            </w:r>
          </w:p>
          <w:p w:rsidR="001965B2" w:rsidRDefault="001965B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Олександра КОЗАК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1965B2" w:rsidRPr="001965B2" w:rsidRDefault="001965B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1965B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65B2" w:rsidRDefault="001965B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271</w:t>
            </w:r>
          </w:p>
        </w:tc>
      </w:tr>
      <w:tr w:rsidR="001965B2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1965B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1965B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3F12E2">
              <w:rPr>
                <w:rFonts w:ascii="Times New Roman" w:eastAsia="Times New Roman" w:hAnsi="Times New Roman"/>
              </w:rPr>
              <w:t xml:space="preserve">Освітня програма підвищення кваліфікації   вчителів математики «Впровадження реформи НУШ у першому (адаптивному) циклі/5-6-их </w:t>
            </w:r>
            <w:r w:rsidRPr="003F12E2">
              <w:rPr>
                <w:rFonts w:ascii="Times New Roman" w:eastAsia="Times New Roman" w:hAnsi="Times New Roman"/>
              </w:rPr>
              <w:lastRenderedPageBreak/>
              <w:t>класах закладів загальної середньої освіти»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F12E2" w:rsidRPr="001965B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(16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1965B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Олександр ШАПОВАЛОВСЬКИЙ,</w:t>
            </w:r>
          </w:p>
          <w:p w:rsid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Марія БАРНА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1965B2" w:rsidRPr="001965B2" w:rsidRDefault="003F12E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3F12E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65B2" w:rsidRDefault="003F12E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272</w:t>
            </w:r>
          </w:p>
        </w:tc>
      </w:tr>
      <w:tr w:rsidR="003F12E2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3F12E2">
              <w:rPr>
                <w:rFonts w:ascii="Times New Roman" w:eastAsia="Times New Roman" w:hAnsi="Times New Roman"/>
              </w:rPr>
              <w:t>Освітня програма підвищення кваліфікації вчителів образотворчого мистецтва «Впровадження реформи НУШ у першому (адаптаційному) циклі / 5-6-их класах закладів загальної середньої освіти»</w:t>
            </w:r>
          </w:p>
          <w:p w:rsidR="003F12E2" w:rsidRP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(8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Людмила ОЛЬШАНСЬКА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3F12E2" w:rsidRPr="003F12E2" w:rsidRDefault="003F12E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3F12E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12E2" w:rsidRDefault="003F12E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273</w:t>
            </w:r>
          </w:p>
        </w:tc>
      </w:tr>
      <w:tr w:rsidR="003F12E2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3F12E2">
              <w:rPr>
                <w:rFonts w:ascii="Times New Roman" w:eastAsia="Times New Roman" w:hAnsi="Times New Roman"/>
              </w:rPr>
              <w:t>Освітня програма підвищення кваліфікації   вчителів історії та громадянської освіти «Впровадження реформи НУШ у першому (адаптивному) циклі/5-6-их класах закладів загальної середньої освіти»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F12E2" w:rsidRP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(16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Ірина КОСТЮК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3F12E2" w:rsidRPr="003F12E2" w:rsidRDefault="003F12E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3F12E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12E2" w:rsidRDefault="003F12E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274</w:t>
            </w:r>
          </w:p>
        </w:tc>
      </w:tr>
      <w:tr w:rsidR="003F12E2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3F12E2">
              <w:rPr>
                <w:rFonts w:ascii="Times New Roman" w:eastAsia="Times New Roman" w:hAnsi="Times New Roman"/>
              </w:rPr>
              <w:t>Освітня програма підвищення кваліфікації вчителів природничої освітньої галузі «Впровадження реформи НУШ у 5 - 6-х класах закладів загальної середньої освіт</w:t>
            </w:r>
            <w:r>
              <w:rPr>
                <w:rFonts w:ascii="Times New Roman" w:eastAsia="Times New Roman" w:hAnsi="Times New Roman"/>
              </w:rPr>
              <w:t>и. (Природнича освітня галузь)»</w:t>
            </w:r>
          </w:p>
          <w:p w:rsidR="003F12E2" w:rsidRP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(16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Мирослав ЗІНКЕВИЧ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3F12E2" w:rsidRPr="003F12E2" w:rsidRDefault="003F12E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3F12E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12E2" w:rsidRDefault="003F12E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</w:t>
            </w:r>
          </w:p>
        </w:tc>
      </w:tr>
      <w:tr w:rsidR="003F12E2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3F12E2" w:rsidRDefault="003F12E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3F12E2" w:rsidRPr="003F12E2" w:rsidRDefault="003F12E2" w:rsidP="003F12E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3F12E2">
              <w:rPr>
                <w:rFonts w:ascii="Times New Roman" w:eastAsia="Times New Roman" w:hAnsi="Times New Roman"/>
              </w:rPr>
              <w:t>Освітня програма підвищення кваліфікації для вчителів інтегрованого курсу «Робототехніка» з використанням дистанційних технологій навчання</w:t>
            </w:r>
          </w:p>
          <w:p w:rsidR="003F12E2" w:rsidRDefault="003F12E2" w:rsidP="003F12E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3F12E2">
              <w:rPr>
                <w:rFonts w:ascii="Times New Roman" w:eastAsia="Times New Roman" w:hAnsi="Times New Roman"/>
              </w:rPr>
              <w:t>«Особливості викладання інтегрованого курсу «Робототехніка» у Новій українській школі»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3F12E2" w:rsidRPr="003F12E2" w:rsidRDefault="003F12E2" w:rsidP="003F12E2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(8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3F12E2" w:rsidRDefault="00E5391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Лілія ПАЛЮШОК,</w:t>
            </w:r>
          </w:p>
          <w:p w:rsidR="00E53912" w:rsidRDefault="00E5391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Надія МАНЬКО,</w:t>
            </w:r>
          </w:p>
          <w:p w:rsidR="00E53912" w:rsidRDefault="00E5391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Андрій МАНЬКО</w:t>
            </w:r>
          </w:p>
          <w:p w:rsidR="00E53912" w:rsidRPr="00E53912" w:rsidRDefault="00E5391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3F12E2" w:rsidRPr="003F12E2" w:rsidRDefault="003F12E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3F12E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12E2" w:rsidRDefault="003F12E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276</w:t>
            </w:r>
          </w:p>
        </w:tc>
      </w:tr>
      <w:tr w:rsidR="00E53912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E53912" w:rsidRDefault="00E5391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E53912" w:rsidRDefault="00E53912" w:rsidP="003F12E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E53912">
              <w:rPr>
                <w:rFonts w:ascii="Times New Roman" w:eastAsia="Times New Roman" w:hAnsi="Times New Roman"/>
              </w:rPr>
              <w:t>Освітня програма підвищення кваліфікації   тренерів-педагогів вчителів української мови та літератури «Впровадження реформи НУШ у першому (адаптивному) циклі/5-6-их класах закладів загальної середньої освіти»</w:t>
            </w:r>
          </w:p>
          <w:p w:rsidR="00E53912" w:rsidRPr="003F12E2" w:rsidRDefault="00E53912" w:rsidP="003F12E2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(16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E53912" w:rsidRDefault="00E5391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Анна-Марія БОГОСВЯТСЬКА,</w:t>
            </w:r>
          </w:p>
          <w:p w:rsidR="00E53912" w:rsidRDefault="00E53912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Оксана ДІЛЬНА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E53912" w:rsidRPr="003F12E2" w:rsidRDefault="00E5391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E53912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912" w:rsidRDefault="00E53912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277</w:t>
            </w:r>
          </w:p>
        </w:tc>
      </w:tr>
      <w:tr w:rsidR="00E53912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E53912" w:rsidRDefault="00DE46F0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E53912" w:rsidRDefault="00DE46F0" w:rsidP="003F12E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DE46F0">
              <w:rPr>
                <w:rFonts w:ascii="Times New Roman" w:eastAsia="Times New Roman" w:hAnsi="Times New Roman"/>
              </w:rPr>
              <w:t>Освітня програма підвищення кваліфікації   тренерів-педагогів (керівників ЗЗСО та їх заступників) «Впровадження реформи НУШ у першому (адаптивному) циклі/5-6-их класах закладів загальної середньої освіти»</w:t>
            </w:r>
          </w:p>
          <w:p w:rsidR="00DE46F0" w:rsidRPr="00E53912" w:rsidRDefault="00DE46F0" w:rsidP="003F12E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DE46F0">
              <w:rPr>
                <w:rFonts w:ascii="Times New Roman" w:eastAsia="Times New Roman" w:hAnsi="Times New Roman"/>
              </w:rPr>
              <w:lastRenderedPageBreak/>
              <w:t>(16 год.)</w:t>
            </w:r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E53912" w:rsidRDefault="00DE46F0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Христина ЧУШАК,</w:t>
            </w:r>
          </w:p>
          <w:p w:rsidR="00DE46F0" w:rsidRDefault="00DE46F0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Олена ШИЯН,</w:t>
            </w:r>
          </w:p>
          <w:p w:rsidR="00DE46F0" w:rsidRDefault="00DE46F0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Павло ХОБЗЕЙ,</w:t>
            </w:r>
          </w:p>
          <w:p w:rsidR="00DE46F0" w:rsidRDefault="00DE46F0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Сергій ПАЗЮК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E53912" w:rsidRPr="00E53912" w:rsidRDefault="00DE46F0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DE46F0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53912" w:rsidRDefault="00DE46F0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278</w:t>
            </w:r>
          </w:p>
        </w:tc>
      </w:tr>
      <w:tr w:rsidR="00DE46F0" w:rsidRPr="00C63ADF" w:rsidTr="009F4896">
        <w:trPr>
          <w:trHeight w:val="300"/>
        </w:trPr>
        <w:tc>
          <w:tcPr>
            <w:tcW w:w="705" w:type="dxa"/>
            <w:tcMar>
              <w:left w:w="105" w:type="dxa"/>
              <w:right w:w="105" w:type="dxa"/>
            </w:tcMar>
          </w:tcPr>
          <w:p w:rsidR="00DE46F0" w:rsidRDefault="00DE46F0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12.</w:t>
            </w:r>
          </w:p>
        </w:tc>
        <w:tc>
          <w:tcPr>
            <w:tcW w:w="3180" w:type="dxa"/>
            <w:tcMar>
              <w:left w:w="105" w:type="dxa"/>
              <w:right w:w="105" w:type="dxa"/>
            </w:tcMar>
          </w:tcPr>
          <w:p w:rsidR="00DE46F0" w:rsidRDefault="00BE47E3" w:rsidP="003F12E2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BE47E3">
              <w:rPr>
                <w:rFonts w:ascii="Times New Roman" w:eastAsia="Times New Roman" w:hAnsi="Times New Roman"/>
              </w:rPr>
              <w:t>Освітня програма підвищення кваліфікації учителів фізичної культури для роботи за новим державним стандартом базової середньої освіти: «Упровадження НУШ в освітній галузі «Фізична культура» та завершення адаптаційного циклу базової середньої освіти»</w:t>
            </w:r>
          </w:p>
          <w:p w:rsidR="00BE47E3" w:rsidRPr="00DE46F0" w:rsidRDefault="00BE47E3" w:rsidP="003F12E2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(8 год.)</w:t>
            </w:r>
            <w:bookmarkStart w:id="0" w:name="_GoBack"/>
            <w:bookmarkEnd w:id="0"/>
          </w:p>
        </w:tc>
        <w:tc>
          <w:tcPr>
            <w:tcW w:w="2475" w:type="dxa"/>
            <w:tcMar>
              <w:left w:w="105" w:type="dxa"/>
              <w:right w:w="105" w:type="dxa"/>
            </w:tcMar>
          </w:tcPr>
          <w:p w:rsidR="00DE46F0" w:rsidRDefault="00BE47E3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Наталія СОРОКОЛІТ,</w:t>
            </w:r>
          </w:p>
          <w:p w:rsidR="00BE47E3" w:rsidRDefault="00BE47E3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Євгенія СЛИВКА,</w:t>
            </w:r>
          </w:p>
          <w:p w:rsidR="00BE47E3" w:rsidRDefault="00BE47E3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Галина КОВАЛИШИН</w:t>
            </w:r>
          </w:p>
          <w:p w:rsidR="00BE47E3" w:rsidRDefault="00BE47E3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</w:p>
          <w:p w:rsidR="00BE47E3" w:rsidRDefault="00BE47E3" w:rsidP="00C63ADF">
            <w:pPr>
              <w:spacing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34" w:type="dxa"/>
            <w:tcBorders>
              <w:right w:val="single" w:sz="4" w:space="0" w:color="auto"/>
            </w:tcBorders>
            <w:tcMar>
              <w:left w:w="105" w:type="dxa"/>
              <w:right w:w="105" w:type="dxa"/>
            </w:tcMar>
          </w:tcPr>
          <w:p w:rsidR="00DE46F0" w:rsidRPr="00DE46F0" w:rsidRDefault="00DE46F0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DE46F0">
              <w:rPr>
                <w:rFonts w:ascii="Times New Roman" w:eastAsia="Times New Roman" w:hAnsi="Times New Roman"/>
              </w:rPr>
              <w:t>Кафедра освітньої політики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6F0" w:rsidRDefault="00DE46F0" w:rsidP="00C63ADF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279</w:t>
            </w:r>
          </w:p>
        </w:tc>
      </w:tr>
    </w:tbl>
    <w:p w:rsidR="00041A92" w:rsidRDefault="00041A92"/>
    <w:sectPr w:rsidR="00041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04"/>
    <w:rsid w:val="00041A92"/>
    <w:rsid w:val="001965B2"/>
    <w:rsid w:val="003F12E2"/>
    <w:rsid w:val="00906504"/>
    <w:rsid w:val="00BE47E3"/>
    <w:rsid w:val="00C63ADF"/>
    <w:rsid w:val="00DE46F0"/>
    <w:rsid w:val="00E5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C63A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C63A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3478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3</cp:revision>
  <dcterms:created xsi:type="dcterms:W3CDTF">2024-01-10T10:55:00Z</dcterms:created>
  <dcterms:modified xsi:type="dcterms:W3CDTF">2024-01-10T13:45:00Z</dcterms:modified>
</cp:coreProperties>
</file>