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КОМУНАЛЬНИЙ  ЗАКЛАД  ЛЬВІВСЬКОЇ  ОБЛАСНОЇ  РАДИ</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«ЛЬВІВСЬКИЙ ОБЛАСНИЙ ІНСТИТУТ ПІСЛЯДИПЛОМНОЇ ПЕДАГОГІЧНОЇ ОСВІТИ»</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Кафедра освітньої політики</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2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2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Програма підвищення кваліфікації керівників ЗЗСО та їх заступників</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center"/>
        <w:rPr>
          <w:rFonts w:ascii="Georgia" w:cs="Georgia" w:eastAsia="Georgia" w:hAnsi="Georgia"/>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Georgia" w:cs="Georgia" w:eastAsia="Georgia" w:hAnsi="Georgia"/>
          <w:b w:val="1"/>
          <w:i w:val="0"/>
          <w:smallCaps w:val="0"/>
          <w:strike w:val="0"/>
          <w:color w:val="000000"/>
          <w:sz w:val="32"/>
          <w:szCs w:val="32"/>
          <w:u w:val="none"/>
          <w:shd w:fill="auto" w:val="clear"/>
          <w:vertAlign w:val="baseline"/>
          <w:rtl w:val="0"/>
        </w:rPr>
        <w:t xml:space="preserve">Реалізація Державного стандарту базової  освіти у другому (предметному) циклі базової середньої освіти: роль управлінців»</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підвищення кваліфікації  розглянута і рекомендована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затвердження на засіданні кафедри освітньої політики</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(протокол № 8    від  16.09.2024 р.)</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Завідувачка кафедри                                                      Христина ЧУШАК</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підвищення кваліфікації затверджена науково-методичною радою</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(протокол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w:t>
      </w:r>
      <w:r w:rsidDel="00000000" w:rsidR="00000000" w:rsidRPr="00000000">
        <w:rPr>
          <w:i w:val="1"/>
          <w:sz w:val="28"/>
          <w:szCs w:val="28"/>
          <w:rtl w:val="0"/>
        </w:rPr>
        <w:t xml:space="preserve"> 5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від 26.09.2024</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р.)</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Голова науково-методичної ради</w:t>
        <w:tab/>
        <w:t xml:space="preserve">                                             Павло ХОБЗЕЙ</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ЛЬВІВ 2024</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 ЗАГАЛЬНІ ВІДОМОСТІ</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Найменування: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підвищення кваліфікації керівників ЗЗСО та їх заступників «Реалізація Державного стандарту базової  освіти у другому (предметному) циклі базової середньої освіти: роль управлінців».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Розробники: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завідувачка кафедри освітньої політики доц. Чушак Х. Я., директор КЗ ЛОР ЛОІППО, доцент кафедри освітньої політики Хобзей П. К., заступник директора КЗ ЛОР ЛОІППО Пазюк С. З., доц. кафедри освітньої політики Барна М. М., ст. викл. Кафедри освітньої політики Байовська А. М., ст. викл. кафедри освітньої політики Сливка Є. М.</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підготовка керівників ЗЗСО та їх заступників до усвідомленого лідерства у питаннях впровадження Нової української школи на рівні другого (предметного) циклу, надання їм відповідних управлінських інструментів.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1"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Напрямок навчання:</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управлінської компетентності (для керівників закладів освіти, науково-методичних установ та їх заступників) тощо.</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Обсяг: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16 годин (0,53 кредита ЄКТС)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Форма (форми) підвищення кваліфікації: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інституційна, змішана (очно-дистанційна)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Перелік компетентностей, що вдосконалюватимуться/набуватимуться:</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Загальні компетентності:</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здатність до міжособистісної взаємодії, роботи в команді, налагоджування соціальної взаємодії, співробітництва з колегами, попереджування та розв’язання конфліктів (соціальна компетентність).</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Професійні компетентності: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компетентність стратегічного управління закладом освіти (А2);</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компетентність стратегічного управління персоналом (А3);</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компетентність забезпечення якості освітньої діяльності та функціонування внутрішньої системи забезпечення якості освіти (Б1.1);</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лідерська (В1);</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компетентність педагогічного, соціального та мережевого партнерства (В3)</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інноваційна (Д1).</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Місце (місця) надання освітньої послуги: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КЗ ЛОР «Львівський обласний інститут післядипломної педагогічної освіти».</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Очікувані результати навчання:</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слухач_ка курсів уміє:</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здійснювати коригування освітнього процесу, управлінської та освітньої діяльності (Б1.2.У3) після моніторингу та аналізу впровадження НУШ на рівні адаптаційного циклу задля ефективного її впровадження на рівні предметного циклу;</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управляти змінами, креативно підходити до вирішення стратегічних завдань і приймати управлінські рішення (А 2.5) щодо забезпечення реалізації реформи НУШ у другому (предметному) циклі базової середньої освіти;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застосовувати технології позитивного впливу на колектив закладу, окремих осіб груп із метою досягнення стратегічних цілей закладу освіти (В1.1), реалізації реформи НУШ у базовій середній школі.</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Документ, що видається за результатами підвищення кваліфікації: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сертифікат</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ІІ. ЗМІСТ ПРОГРАМИ</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Модуль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Запровадження НУШ в предметному циклі базової середньої освіти</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(6 год.)</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1.1. Аналіз впровадження НУШ в адаптаційному циклі: здобутки та виклики. Навчальні потреби для керівників та педагогічних колективів ЗЗСО у контексті реалізації НУШ у другому (предметному) циклі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План лекційного заняття (2 год.):</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Огляд нормативних документів та основних вимог у контексті переходу НУШ до предметного циклу.</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Необхідність оновлення методології та інструментів для вчителів.</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Підготовка керівників і колективів до нового етапу: зміни у програмах та навчальних планах.</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Групове обговорення: здобутки і виклики у впровадженні НУШ.</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килим ідей «Чому у школах виникають труднощі з реалізацією ДСБСО».</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Підсумкова дискусія: кроки адміністрації шкіл задля реалізації ДСБСО на рівні предметного циклу.</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Мета-обговорення: роль педагогів-тренерів у супроводі керівників ЗЗСО та їх заступників на місцях.</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1.2. Освітня програма закладу освіти у світлі оновленої Типової освітньої програми для 5-9 класів (2024)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зміни в ТОП: збільшення можливостей та розширення академічної свободи для закладів загальної середньої освіти.</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з конструктором освітньої програми для 7-9 класів.</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Практична вправа: аналіз освітніх програм, пошук помилок. </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Практична вправа: покращення освітньої програми ЗЗЗСО.</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Модуль 2. Особливості НУШ в педагогічній діяльності: на що звертати увагу</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(4 години)</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2.1. Оцінювання у предметному циклі НУШ. Нові методичні рекомендації по оцінюванню (2024)</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МОН № 1093 від 02 серпня 2024 р. «Про затвердження рекомендацій щодо оцінювання результатів навчання»: зміни та уточнення в шкільних процедурах оцінювання на рівні предметного циклу. </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Фіксація оцінювання за групами результатів. Фіксація в електронних журналах.</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2.2. Конструювання уроку в НУШ: зворотній дизайн</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вчителі планують уроки на сьогодні? Обговорення існуючих практик. </w:t>
      </w:r>
    </w:p>
    <w:p w:rsidR="00000000" w:rsidDel="00000000" w:rsidP="00000000" w:rsidRDefault="00000000" w:rsidRPr="00000000" w14:paraId="000000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Основи зворотного дизайну: планування від очікуваних результатів.</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Практикування зворотного дизайну.</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Модуль 3.  Управлінські рішення при впровадженні НУШ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 години)</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3.1 Культура школи та її вплив на реалізацію реформи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Поняття «культури школи». Відмінність між культурою школи та атмосфери в школі. </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Приклади успішних шкіл та елементи культури школи, які сприяють успіху. </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Яка культура школи впливає на гнучкість, відкритість до змін? Які елементи шкільної культури можуть сприяти ефективному впровадженню Нової української школи?</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Тема 3.2 Професійна підтримка та допомога педагогічним працівникам (здійснення супервізії) у сфері загальної середньої освіти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Ціннісні аспекти супервізії в середній освіті.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Профіль супервізора.</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Документальне забезпечення супервізії.</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умов для проведення супервізії, узагальнення та верифікації результатів. Оформлення документів для здійснення супервізії.</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Принципи, форми та методи супервізії.</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адміністрації школи у забезпеченні супервізії та підтримці супервізорів.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Підсумки навчання. Рефлексія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години)</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Підсумки та аналіз навчання груп керівників ЗЗСО та їх заступників: що вдалося? Якими були виклики?</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Навчальні потреби керівників ЗЗСО та їх заступників у зв’язку з упровадженням НУШ у базовій середній школі.</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Контроль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знаннями слухачів проводиться послідовно й систематично: на практичних заняттях, індивідуальне та фронтальне опитування, виконання самостійної роботи; на лекціях – експрес-контроль, що передбачає постановку конкретних питань з теми.</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Оцінювання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 Оцінювання вербальне.</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ІІІ. РОЗПОДІЛ ГОДИН ЗА ВИДАМИ ДІЯЛЬНОСТІ</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526.0" w:type="dxa"/>
        <w:jc w:val="left"/>
        <w:tblInd w:w="-2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87"/>
        <w:gridCol w:w="1048"/>
        <w:gridCol w:w="1046"/>
        <w:gridCol w:w="1345"/>
        <w:tblGridChange w:id="0">
          <w:tblGrid>
            <w:gridCol w:w="6087"/>
            <w:gridCol w:w="1048"/>
            <w:gridCol w:w="1046"/>
            <w:gridCol w:w="1345"/>
          </w:tblGrid>
        </w:tblGridChange>
      </w:tblGrid>
      <w:tr>
        <w:trPr>
          <w:cantSplit w:val="1"/>
          <w:trHeight w:val="317" w:hRule="atLeast"/>
          <w:tblHeader w:val="0"/>
        </w:trPr>
        <w:tc>
          <w:tcPr>
            <w:vMerge w:val="restart"/>
            <w:tcBorders>
              <w:bottom w:color="000000" w:space="0" w:sz="0" w:val="nil"/>
            </w:tcBorders>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Назви тем</w:t>
            </w:r>
            <w:r w:rsidDel="00000000" w:rsidR="00000000" w:rsidRPr="00000000">
              <w:rPr>
                <w:rtl w:val="0"/>
              </w:rPr>
            </w:r>
          </w:p>
        </w:tc>
        <w:tc>
          <w:tcPr>
            <w:gridSpan w:val="3"/>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годин</w:t>
            </w:r>
            <w:r w:rsidDel="00000000" w:rsidR="00000000" w:rsidRPr="00000000">
              <w:rPr>
                <w:rtl w:val="0"/>
              </w:rPr>
            </w:r>
          </w:p>
        </w:tc>
      </w:tr>
      <w:tr>
        <w:trPr>
          <w:cantSplit w:val="1"/>
          <w:trHeight w:val="557" w:hRule="atLeast"/>
          <w:tblHeader w:val="0"/>
        </w:trPr>
        <w:tc>
          <w:tcPr>
            <w:vMerge w:val="continue"/>
            <w:tcBorders>
              <w:bottom w:color="000000" w:space="0" w:sz="0" w:val="nil"/>
            </w:tcBorders>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Усього</w:t>
            </w: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Лекції </w:t>
            </w: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Прак-тичні</w:t>
            </w:r>
            <w:r w:rsidDel="00000000" w:rsidR="00000000" w:rsidRPr="00000000">
              <w:rPr>
                <w:rtl w:val="0"/>
              </w:rPr>
            </w:r>
          </w:p>
        </w:tc>
      </w:tr>
      <w:tr>
        <w:trPr>
          <w:cantSplit w:val="1"/>
          <w:tblHeader w:val="0"/>
        </w:trPr>
        <w:tc>
          <w:tcPr>
            <w:shd w:fill="a6a6a6" w:val="clea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Модуль 1. Запровадження НУШ в предметному циклі базової середньої освіти</w:t>
            </w:r>
            <w:r w:rsidDel="00000000" w:rsidR="00000000" w:rsidRPr="00000000">
              <w:rPr>
                <w:rtl w:val="0"/>
              </w:rPr>
            </w:r>
          </w:p>
        </w:tc>
        <w:tc>
          <w:tcPr>
            <w:shd w:fill="a6a6a6" w:val="clea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shd w:fill="a6a6a6" w:val="clea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shd w:fill="a6a6a6" w:val="clea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r>
      <w:tr>
        <w:trPr>
          <w:cantSplit w:val="1"/>
          <w:tblHeader w:val="0"/>
        </w:trPr>
        <w:tc>
          <w:tcPr>
            <w:shd w:fill="ffffff" w:val="clea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 Аналіз впровадження НУШ в адаптаційному циклі: здобутки та виклики. Навчальні потреби для керівників та педагогічних колективів ЗЗСО у контексті реалізації НУШ у другому (предметному) циклі</w:t>
            </w:r>
          </w:p>
        </w:tc>
        <w:tc>
          <w:tcPr>
            <w:shd w:fill="ffffff" w:val="cle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shd w:fill="ffffff" w:val="cle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ffffff" w:val="cle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1"/>
          <w:tblHeader w:val="0"/>
        </w:trPr>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1.2. Освітня програма закладу освіти у світлі оновленої Типової освітньої програми для 5-9 класів (2024)</w:t>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1"/>
          <w:trHeight w:val="684" w:hRule="atLeast"/>
          <w:tblHeader w:val="0"/>
        </w:trPr>
        <w:tc>
          <w:tcPr>
            <w:shd w:fill="bfbfbf" w:val="clea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Модуль 2. Особливості НУШ в педагогічній діяльності: на що звертати увагу </w:t>
            </w:r>
            <w:r w:rsidDel="00000000" w:rsidR="00000000" w:rsidRPr="00000000">
              <w:rPr>
                <w:rtl w:val="0"/>
              </w:rPr>
            </w:r>
          </w:p>
        </w:tc>
        <w:tc>
          <w:tcPr>
            <w:shd w:fill="bfbfbf" w:val="clea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shd w:fill="bfbfbf" w:val="clea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tl w:val="0"/>
              </w:rPr>
            </w:r>
          </w:p>
        </w:tc>
        <w:tc>
          <w:tcPr>
            <w:shd w:fill="bfbfbf" w:val="cle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r>
      <w:tr>
        <w:trPr>
          <w:cantSplit w:val="1"/>
          <w:trHeight w:val="334" w:hRule="atLeast"/>
          <w:tblHeader w:val="0"/>
        </w:trPr>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1.2. Оцінювання у предметному циклі НУШ. Нові методичні рекомендації по оцінюванню (2024)</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1"/>
          <w:trHeight w:val="410" w:hRule="atLeast"/>
          <w:tblHeader w:val="0"/>
        </w:trPr>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2.2. Конструювання уроку в НУШ: зворотній дизайн</w:t>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rHeight w:val="64" w:hRule="atLeast"/>
          <w:tblHeader w:val="0"/>
        </w:trPr>
        <w:tc>
          <w:tcPr>
            <w:shd w:fill="bfbfbf" w:val="cle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Модуль 3. Управлінські рішення при впровадженні НУШ</w:t>
            </w:r>
            <w:r w:rsidDel="00000000" w:rsidR="00000000" w:rsidRPr="00000000">
              <w:rPr>
                <w:rtl w:val="0"/>
              </w:rPr>
            </w:r>
          </w:p>
        </w:tc>
        <w:tc>
          <w:tcPr>
            <w:shd w:fill="bfbfbf" w:val="clea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shd w:fill="bfbfbf" w:val="clea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shd w:fill="bfbfbf" w:val="clea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3.1 Культура школи та її вплив на реалізацію реформи </w:t>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rHeight w:val="841" w:hRule="atLeast"/>
          <w:tblHeader w:val="0"/>
        </w:trPr>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3.2 Професійна підтримка та допомога педагогічним працівникам (здійснення супервізії) у сфері загальної середньої освіти</w:t>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rHeight w:val="435" w:hRule="atLeast"/>
          <w:tblHeader w:val="0"/>
        </w:trPr>
        <w:tc>
          <w:tcPr>
            <w:shd w:fill="bfbfbf" w:val="cle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Підсумки навчання. Рефлексія </w:t>
            </w:r>
            <w:r w:rsidDel="00000000" w:rsidR="00000000" w:rsidRPr="00000000">
              <w:rPr>
                <w:rtl w:val="0"/>
              </w:rPr>
            </w:r>
          </w:p>
        </w:tc>
        <w:tc>
          <w:tcPr>
            <w:shd w:fill="bfbfbf" w:val="cle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shd w:fill="bfbfbf" w:val="clea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r w:rsidDel="00000000" w:rsidR="00000000" w:rsidRPr="00000000">
              <w:rPr>
                <w:rtl w:val="0"/>
              </w:rPr>
            </w:r>
          </w:p>
        </w:tc>
        <w:tc>
          <w:tcPr>
            <w:shd w:fill="bfbfbf" w:val="clea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cantSplit w:val="0"/>
          <w:trHeight w:val="435" w:hRule="atLeast"/>
          <w:tblHeader w:val="0"/>
        </w:trPr>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 годин:</w:t>
            </w:r>
            <w:r w:rsidDel="00000000" w:rsidR="00000000" w:rsidRPr="00000000">
              <w:rPr>
                <w:rtl w:val="0"/>
              </w:rPr>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СПИСОК РЕКОМЕНДОВАНОЇ ЛІТЕРАТУРИ:</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Постанова Кабінету Міністрів України від 19 вересня 2023 р. № 1023 «Питання надання освітньої субвенції з державного бюджету місцевим бюджетам (за спеціальним фондом державного бюджету) у 2023 році»</w:t>
      </w:r>
    </w:p>
    <w:p w:rsidR="00000000" w:rsidDel="00000000" w:rsidP="00000000" w:rsidRDefault="00000000" w:rsidRPr="00000000" w14:paraId="000000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Постанова Кабінету Міністрів України від 27 грудня 2018 р. № 1190 «Про затвердження Положення про сертифікацію педагогічних працівників».</w:t>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Міністерства освіти і науки України від 18 жовтня 2019 р. № 1313 «Деякі питання організації та проведення супервізії».</w:t>
      </w:r>
    </w:p>
    <w:p w:rsidR="00000000" w:rsidDel="00000000" w:rsidP="00000000" w:rsidRDefault="00000000" w:rsidRPr="00000000" w14:paraId="000000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Міністерства освіти і науки України від 16 січня 2023 р. № 35 «Про деякі питання проведення сертифікації педагогічних працівників у 2023 році».</w:t>
      </w:r>
    </w:p>
    <w:p w:rsidR="00000000" w:rsidDel="00000000" w:rsidP="00000000" w:rsidRDefault="00000000" w:rsidRPr="00000000" w14:paraId="000000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Міністерства розвитку економіки, торгівлі та сільського господарства України від 23 грудня 2020 р. № 2136 «Про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w:t>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Державний стандарт базової середньої освіти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https://mon.gov.ua/ua/osvita/zagalna-serednya-osvita/nova-ukrayinska-shkola/derzhavnij-standart-bazovoyi-serednoyi-osviti</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Нова українська школа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https://mon.gov.ua/ua/tag/nova-ukrainska-shkola</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Ціннісні орієнтири сучасної української школи. URL: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https://mon.gov.ua/storage/app/media/Serpneva%20conferentcia/2019/Presentasia-Roman-Stesichin.pdf</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Лист Міністерства освіти і науки України</w:t>
        <w:tab/>
        <w:t xml:space="preserve">від 12.09.2023</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1/13749-23 «Про інструктивно-методичні рекомендації щодо викладання навчальних предметів у закладах загальної середньої освіти у 2023/2024 навчальному році»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https://osvita.ua/doc/files/news/899/89974/6500177fc5b54679390686.pdf</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Методичні рекомендації і приклади реалізації НУШ у 5-6 класах на основі досвіду освітян столиці: природнича, математична, інформатична, технологічна, соціальна і здоров'ябережувальна галузі: [Навчально-методичний посібник] </w:t>
      </w:r>
      <w:hyperlink r:id="rId1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https://elibrary.kubg.edu.ua/id/eprint/41680/1/77%D0%9F%D0%BE%D1%81%D1%96%D0%B1%D0%BD%D0%B8%D0%BA%20%D0%9D%D0%A3%D0%A8%2022%20%D0%9A%D0%9F%D0%9C%D0%9E%D0%A2%2009-08-07.pdf</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Лист МОН № №4.5/2303-21 від 06.08.21 року 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w:t>
      </w:r>
      <w:hyperlink r:id="rId1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https://osvita.ua/legislation/Ser_osv/83419/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https://osvita.ua/doc/files/news/834/83419/Metodychni-rekomendatsiyi-pilotnym-shkol.pdf</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Лист Міністерства освіти і науки України</w:t>
        <w:tab/>
        <w:t xml:space="preserve">від 19.08.2022 № 1/9530-22  Методичні рекомендації щодо організації освітнього процесу в школах у 2022/2023 навчальному році </w:t>
      </w:r>
      <w:hyperlink r:id="rId1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https://osvita.ua/legislation/Ser_osv/87596/</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за НУШ: що змінилося та як допомогти вчителю? </w:t>
      </w:r>
      <w:hyperlink r:id="rId1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https://osvitoria.media/experience/otsinyuvannya-za-nush-shho-zminylos-ta-yak-dopomogty-vchytelyu/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Богосвятська А.-М.І Цифрові техніки формувального оцінювання: </w:t>
      </w:r>
      <w:hyperlink r:id="rId1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https://docs.google.com/presentation/d/1KFjIo1RUP7ArF8KYczQHE8cTdxnOKn1pcEyrxAgz5nA/edit?usp=sharing</w:t>
        </w:r>
      </w:hyperlink>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Новий освітній стандарт для 5-9 класів – що це за документ і що він змінює </w:t>
      </w:r>
      <w:hyperlink r:id="rId1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https://nus.org.ua/questions/novyj-osvitnij-standart-dlya-5-9-klasiv-shho-tse-za-dokument-i-shho-vin-zminyuye/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нового Державного стандарту базової середньої освіти   </w:t>
      </w:r>
      <w:hyperlink r:id="rId1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file:///C:/Users/m-bar/Downloads/osoblivosti_novogo_derzhastandartu_bazovoji_osviti%20(1).pdf</w:t>
        </w:r>
      </w:hyperlink>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Методичні рекомендації щодо окремих        питань здобуття загальної середньої освіти в умовах воєнного стану в Україні, затверджені наказом МОН України від 15 травня 2023 р. №563.   </w:t>
      </w:r>
      <w:hyperlink r:id="rId1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https://mon.gov.ua/ua/npa/pro-zatverdzhennya-metodichnih-rekomendacij-</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shodo-okremih-pitan-zdobuttya-osviti-v-zakladah-zagalnoyi-serednoyi-osviti-v-umovah-voyennogo-stanu-v-ukrayini</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Навчальні втрати: причини, наслідки й шляхи подолання </w:t>
      </w:r>
      <w:hyperlink r:id="rId2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https://osvita.ua/school/88921/</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Усе про освітні втрати: ефективні методики та алгоритми для вчителя. </w:t>
      </w:r>
      <w:hyperlink r:id="rId2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https://osvitoria.media/experience/vse-pro-osvitni-vtraty-efektyvni-metodyky-ta-algorytmy-dlya-vchytelya/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3"/>
        </w:tabs>
        <w:spacing w:after="60" w:before="0" w:line="252.00000000000003" w:lineRule="auto"/>
        <w:ind w:left="2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компенсувати «освітні втрати»: рекомендації для органів влади, засновників і директорів закладів освіти </w:t>
      </w:r>
      <w:hyperlink r:id="rId2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https://sqe.gov.ua/yak-kompensuvati-osvitni-vtrati-rek/</w:t>
        </w:r>
      </w:hyperlink>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Звичайний">
    <w:name w:val="Звичайний"/>
    <w:next w:val="Звичайни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uk-UA"/>
    </w:rPr>
  </w:style>
  <w:style w:type="paragraph" w:styleId="Заголовок1">
    <w:name w:val="Заголовок 1"/>
    <w:basedOn w:val="Звичайний"/>
    <w:next w:val="Звичайний"/>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eastAsia="MS Mincho" w:hAnsi="Arial"/>
      <w:b w:val="1"/>
      <w:bCs w:val="1"/>
      <w:w w:val="100"/>
      <w:kern w:val="32"/>
      <w:position w:val="-1"/>
      <w:sz w:val="32"/>
      <w:szCs w:val="32"/>
      <w:effect w:val="none"/>
      <w:vertAlign w:val="baseline"/>
      <w:cs w:val="0"/>
      <w:em w:val="none"/>
      <w:lang w:bidi="ar-SA" w:eastAsia="ja-JP" w:val="uk-UA"/>
    </w:rPr>
  </w:style>
  <w:style w:type="paragraph" w:styleId="Заголовок3">
    <w:name w:val="Заголовок 3"/>
    <w:basedOn w:val="Звичайний"/>
    <w:next w:val="Звичайний"/>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eastAsia="Calibri" w:hAnsi="Arial"/>
      <w:b w:val="1"/>
      <w:bCs w:val="1"/>
      <w:w w:val="100"/>
      <w:position w:val="-1"/>
      <w:sz w:val="26"/>
      <w:szCs w:val="26"/>
      <w:effect w:val="none"/>
      <w:vertAlign w:val="baseline"/>
      <w:cs w:val="0"/>
      <w:em w:val="none"/>
      <w:lang w:bidi="ar-SA" w:eastAsia="ja-JP" w:val="uk-UA"/>
    </w:rPr>
  </w:style>
  <w:style w:type="character" w:styleId="Шрифтабзацузапромовчанням">
    <w:name w:val="Шрифт абзацу за промовчанням"/>
    <w:next w:val="Шрифтабзацузапромовчанням"/>
    <w:autoRedefine w:val="0"/>
    <w:hidden w:val="0"/>
    <w:qFormat w:val="0"/>
    <w:rPr>
      <w:w w:val="100"/>
      <w:position w:val="-1"/>
      <w:effect w:val="none"/>
      <w:vertAlign w:val="baseline"/>
      <w:cs w:val="0"/>
      <w:em w:val="none"/>
      <w:lang/>
    </w:rPr>
  </w:style>
  <w:style w:type="table" w:styleId="Звичайнатаблиця">
    <w:name w:val="Звичайна таблиця"/>
    <w:next w:val="Звичайнатаблиця"/>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маєсписку">
    <w:name w:val="Немає списку"/>
    <w:next w:val="Немаєсписку"/>
    <w:autoRedefine w:val="0"/>
    <w:hidden w:val="0"/>
    <w:qFormat w:val="0"/>
    <w:pPr>
      <w:suppressAutoHyphens w:val="1"/>
      <w:spacing w:line="1" w:lineRule="atLeast"/>
      <w:ind w:leftChars="-1" w:rightChars="0" w:firstLineChars="-1"/>
      <w:textDirection w:val="btLr"/>
      <w:textAlignment w:val="top"/>
      <w:outlineLvl w:val="0"/>
    </w:pPr>
  </w:style>
  <w:style w:type="paragraph" w:styleId="Абзацсписка">
    <w:name w:val="Абзац списка"/>
    <w:basedOn w:val="Звичайний"/>
    <w:next w:val="Абзацсписка"/>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ja-JP" w:val="ru-RU"/>
    </w:rPr>
  </w:style>
  <w:style w:type="character" w:styleId="АбзацспискаЗнак">
    <w:name w:val="Абзац списка Знак"/>
    <w:next w:val="АбзацспискаЗнак"/>
    <w:autoRedefine w:val="0"/>
    <w:hidden w:val="0"/>
    <w:qFormat w:val="0"/>
    <w:rPr>
      <w:rFonts w:ascii="Calibri" w:eastAsia="Calibri" w:hAnsi="Calibri"/>
      <w:w w:val="100"/>
      <w:position w:val="-1"/>
      <w:sz w:val="22"/>
      <w:szCs w:val="22"/>
      <w:effect w:val="none"/>
      <w:vertAlign w:val="baseline"/>
      <w:cs w:val="0"/>
      <w:em w:val="none"/>
      <w:lang w:bidi="ar-SA" w:eastAsia="en-US" w:val="ru-RU"/>
    </w:rPr>
  </w:style>
  <w:style w:type="character" w:styleId="Заголовок3Знак">
    <w:name w:val="Заголовок 3 Знак"/>
    <w:next w:val="Заголовок3Знак"/>
    <w:autoRedefine w:val="0"/>
    <w:hidden w:val="0"/>
    <w:qFormat w:val="0"/>
    <w:rPr>
      <w:rFonts w:ascii="Arial" w:cs="Arial" w:eastAsia="Calibri" w:hAnsi="Arial"/>
      <w:b w:val="1"/>
      <w:bCs w:val="1"/>
      <w:w w:val="100"/>
      <w:position w:val="-1"/>
      <w:sz w:val="26"/>
      <w:szCs w:val="26"/>
      <w:effect w:val="none"/>
      <w:vertAlign w:val="baseline"/>
      <w:cs w:val="0"/>
      <w:em w:val="none"/>
      <w:lang w:bidi="ar-SA" w:eastAsia="uk-UA" w:val="uk-UA"/>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Назва">
    <w:name w:val="Назва"/>
    <w:basedOn w:val="Звичайний"/>
    <w:next w:val="Назва"/>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szCs w:val="20"/>
      <w:effect w:val="none"/>
      <w:vertAlign w:val="baseline"/>
      <w:cs w:val="0"/>
      <w:em w:val="none"/>
      <w:lang w:bidi="ar-SA" w:eastAsia="ja-JP" w:val="uk-UA"/>
    </w:rPr>
  </w:style>
  <w:style w:type="character" w:styleId="НазваЗнак">
    <w:name w:val="Назва Знак"/>
    <w:next w:val="НазваЗнак"/>
    <w:autoRedefine w:val="0"/>
    <w:hidden w:val="0"/>
    <w:qFormat w:val="0"/>
    <w:rPr>
      <w:b w:val="1"/>
      <w:w w:val="100"/>
      <w:position w:val="-1"/>
      <w:sz w:val="28"/>
      <w:effect w:val="none"/>
      <w:vertAlign w:val="baseline"/>
      <w:cs w:val="0"/>
      <w:em w:val="none"/>
      <w:lang w:bidi="ar-SA" w:eastAsia="uk-UA" w:val="uk-UA"/>
    </w:rPr>
  </w:style>
  <w:style w:type="paragraph" w:styleId="ListParagraph1">
    <w:name w:val="List Paragraph1"/>
    <w:basedOn w:val="Звичайний"/>
    <w:next w:val="ListParagraph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ja-JP" w:val="ru-RU"/>
    </w:rPr>
  </w:style>
  <w:style w:type="paragraph" w:styleId="Звичайний(веб)">
    <w:name w:val="Звичайний (веб)"/>
    <w:basedOn w:val="Звичайний"/>
    <w:next w:val="Звичайний(веб)"/>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uk-UA"/>
    </w:rPr>
  </w:style>
  <w:style w:type="paragraph" w:styleId="Абзацсписку">
    <w:name w:val="Абзац списку"/>
    <w:basedOn w:val="Звичайний"/>
    <w:next w:val="Абзацсписку"/>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ja-JP" w:val="uk-UA"/>
    </w:rPr>
  </w:style>
  <w:style w:type="paragraph" w:styleId="Безінтервалів">
    <w:name w:val="Без інтервалів"/>
    <w:next w:val="Безінтервалів"/>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w w:val="100"/>
      <w:kern w:val="2"/>
      <w:position w:val="-1"/>
      <w:sz w:val="22"/>
      <w:szCs w:val="22"/>
      <w:effect w:val="none"/>
      <w:vertAlign w:val="baseline"/>
      <w:cs w:val="0"/>
      <w:em w:val="none"/>
      <w:lang w:bidi="ar-SA" w:eastAsia="zh-CN" w:val="uk-UA"/>
    </w:rPr>
  </w:style>
  <w:style w:type="character" w:styleId="АбзацспискуЗнак">
    <w:name w:val="Абзац списку Знак"/>
    <w:next w:val="АбзацспискуЗнак"/>
    <w:autoRedefine w:val="0"/>
    <w:hidden w:val="0"/>
    <w:qFormat w:val="0"/>
    <w:rPr>
      <w:rFonts w:ascii="Calibri" w:eastAsia="Calibri" w:hAnsi="Calibri"/>
      <w:w w:val="100"/>
      <w:position w:val="-1"/>
      <w:sz w:val="22"/>
      <w:szCs w:val="22"/>
      <w:effect w:val="none"/>
      <w:vertAlign w:val="baseline"/>
      <w:cs w:val="0"/>
      <w:em w:val="none"/>
      <w:lang w:eastAsia="en-US" w:val="uk-UA"/>
    </w:rPr>
  </w:style>
  <w:style w:type="character" w:styleId="Гіперпосилання">
    <w:name w:val="Гіперпосилання"/>
    <w:next w:val="Гіперпосилання"/>
    <w:autoRedefine w:val="0"/>
    <w:hidden w:val="0"/>
    <w:qFormat w:val="1"/>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Переглянутегіперпосилання">
    <w:name w:val="Переглянуте гіперпосилання"/>
    <w:next w:val="Переглянутегіперпосилання"/>
    <w:autoRedefine w:val="0"/>
    <w:hidden w:val="0"/>
    <w:qFormat w:val="0"/>
    <w:rPr>
      <w:color w:val="954f72"/>
      <w:w w:val="100"/>
      <w:position w:val="-1"/>
      <w:u w:val="single"/>
      <w:effect w:val="none"/>
      <w:vertAlign w:val="baseline"/>
      <w:cs w:val="0"/>
      <w:em w:val="none"/>
      <w:lang/>
    </w:rPr>
  </w:style>
  <w:style w:type="character" w:styleId="Виділення">
    <w:name w:val="Виділення"/>
    <w:next w:val="Виділення"/>
    <w:autoRedefine w:val="0"/>
    <w:hidden w:val="0"/>
    <w:qFormat w:val="0"/>
    <w:rPr>
      <w:i w:val="1"/>
      <w:iCs w:val="1"/>
      <w:w w:val="100"/>
      <w:position w:val="-1"/>
      <w:effect w:val="none"/>
      <w:vertAlign w:val="baseline"/>
      <w:cs w:val="0"/>
      <w:em w:val="none"/>
      <w:lang/>
    </w:rPr>
  </w:style>
  <w:style w:type="paragraph" w:styleId="Верхнійколонтитул">
    <w:name w:val="Верхній колонтитул"/>
    <w:basedOn w:val="Звичайний"/>
    <w:next w:val="Верхнійколонтитул"/>
    <w:autoRedefine w:val="0"/>
    <w:hidden w:val="0"/>
    <w:qFormat w:val="0"/>
    <w:pPr>
      <w:tabs>
        <w:tab w:val="center" w:leader="none" w:pos="4819"/>
        <w:tab w:val="right" w:leader="none" w:pos="9639"/>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uk-UA"/>
    </w:rPr>
  </w:style>
  <w:style w:type="character" w:styleId="ВерхнійколонтитулЗнак">
    <w:name w:val="Верхній колонтитул Знак"/>
    <w:next w:val="ВерхнійколонтитулЗнак"/>
    <w:autoRedefine w:val="0"/>
    <w:hidden w:val="0"/>
    <w:qFormat w:val="0"/>
    <w:rPr>
      <w:w w:val="100"/>
      <w:position w:val="-1"/>
      <w:sz w:val="24"/>
      <w:szCs w:val="24"/>
      <w:effect w:val="none"/>
      <w:vertAlign w:val="baseline"/>
      <w:cs w:val="0"/>
      <w:em w:val="none"/>
      <w:lang w:eastAsia="ja-JP"/>
    </w:rPr>
  </w:style>
  <w:style w:type="paragraph" w:styleId="Нижнійколонтитул">
    <w:name w:val="Нижній колонтитул"/>
    <w:basedOn w:val="Звичайний"/>
    <w:next w:val="Нижнійколонтитул"/>
    <w:autoRedefine w:val="0"/>
    <w:hidden w:val="0"/>
    <w:qFormat w:val="0"/>
    <w:pPr>
      <w:tabs>
        <w:tab w:val="center" w:leader="none" w:pos="4819"/>
        <w:tab w:val="right" w:leader="none" w:pos="9639"/>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uk-UA"/>
    </w:rPr>
  </w:style>
  <w:style w:type="character" w:styleId="НижнійколонтитулЗнак">
    <w:name w:val="Нижній колонтитул Знак"/>
    <w:next w:val="НижнійколонтитулЗнак"/>
    <w:autoRedefine w:val="0"/>
    <w:hidden w:val="0"/>
    <w:qFormat w:val="0"/>
    <w:rPr>
      <w:w w:val="100"/>
      <w:position w:val="-1"/>
      <w:sz w:val="24"/>
      <w:szCs w:val="24"/>
      <w:effect w:val="none"/>
      <w:vertAlign w:val="baseline"/>
      <w:cs w:val="0"/>
      <w:em w:val="none"/>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on.gov.ua/ua/npa/pro-zatverdzhennya-metodichnih-rekomendacij-shodo-okremih-pitan-zdobuttya-osviti-v-zakladah-zagalnoyi-serednoyi-osviti-v-umovah-voyennogo-stanu-v-ukrayini" TargetMode="External"/><Relationship Id="rId11" Type="http://schemas.openxmlformats.org/officeDocument/2006/relationships/hyperlink" Target="https://elibrary.kubg.edu.ua/id/eprint/41680/1/77%D0%9F%D0%BE%D1%81%D1%96%D0%B1%D0%BD%D0%B8%D0%BA%20%D0%9D%D0%A3%D0%A8%2022%20%D0%9A%D0%9F%D0%9C%D0%9E%D0%A2%2009-08-07.pdf" TargetMode="External"/><Relationship Id="rId22" Type="http://schemas.openxmlformats.org/officeDocument/2006/relationships/hyperlink" Target="https://osvitoria.media/experience/vse-pro-osvitni-vtraty-efektyvni-metodyky-ta-algorytmy-dlya-vchytelya/" TargetMode="External"/><Relationship Id="rId10" Type="http://schemas.openxmlformats.org/officeDocument/2006/relationships/hyperlink" Target="https://osvita.ua/doc/files/news/899/89974/6500177fc5b54679390686.pdf" TargetMode="External"/><Relationship Id="rId21" Type="http://schemas.openxmlformats.org/officeDocument/2006/relationships/hyperlink" Target="https://osvita.ua/school/88921/" TargetMode="External"/><Relationship Id="rId13" Type="http://schemas.openxmlformats.org/officeDocument/2006/relationships/hyperlink" Target="https://osvita.ua/doc/files/news/834/83419/Metodychni-rekomendatsiyi-pilotnym-shkol.pdf" TargetMode="External"/><Relationship Id="rId12" Type="http://schemas.openxmlformats.org/officeDocument/2006/relationships/hyperlink" Target="https://osvita.ua/legislation/Ser_osv/83419/" TargetMode="External"/><Relationship Id="rId23" Type="http://schemas.openxmlformats.org/officeDocument/2006/relationships/hyperlink" Target="https://sqe.gov.ua/yak-kompensuvati-osvitni-vtrati-re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n.gov.ua/storage/app/media/Serpneva%20conferentcia/2019/Presentasia-Roman-Stesichin.pdf" TargetMode="External"/><Relationship Id="rId15" Type="http://schemas.openxmlformats.org/officeDocument/2006/relationships/hyperlink" Target="https://osvitoria.media/experience/otsinyuvannya-za-nush-shho-zminylos-ta-yak-dopomogty-vchytelyu/" TargetMode="External"/><Relationship Id="rId14" Type="http://schemas.openxmlformats.org/officeDocument/2006/relationships/hyperlink" Target="https://osvita.ua/legislation/Ser_osv/87596/" TargetMode="External"/><Relationship Id="rId17" Type="http://schemas.openxmlformats.org/officeDocument/2006/relationships/hyperlink" Target="https://nus.org.ua/questions/novyj-osvitnij-standart-dlya-5-9-klasiv-shho-tse-za-dokument-i-shho-vin-zminyuye/" TargetMode="External"/><Relationship Id="rId16" Type="http://schemas.openxmlformats.org/officeDocument/2006/relationships/hyperlink" Target="https://docs.google.com/presentation/d/1KFjIo1RUP7ArF8KYczQHE8cTdxnOKn1pcEyrxAgz5nA/edit?usp=sharing" TargetMode="External"/><Relationship Id="rId5" Type="http://schemas.openxmlformats.org/officeDocument/2006/relationships/styles" Target="styles.xml"/><Relationship Id="rId19" Type="http://schemas.openxmlformats.org/officeDocument/2006/relationships/hyperlink" Target="https://mon.gov.ua/ua/npa/pro-zatverdzhennya-metodichnih-rekomendacij-" TargetMode="External"/><Relationship Id="rId6" Type="http://schemas.openxmlformats.org/officeDocument/2006/relationships/customXml" Target="../customXML/item1.xml"/><Relationship Id="rId18" Type="http://schemas.openxmlformats.org/officeDocument/2006/relationships/hyperlink" Target="http://../../../../../../AppData/Roaming/m-bar/Downloads/osoblivosti_novogo_derzhastandartu_bazovoji_osviti%20(1).pdf" TargetMode="External"/><Relationship Id="rId7" Type="http://schemas.openxmlformats.org/officeDocument/2006/relationships/hyperlink" Target="https://mon.gov.ua/ua/osvita/zagalna-serednya-osvita/nova-ukrayinska-shkola/derzhavnij-standart-bazovoyi-serednoyi-osviti" TargetMode="External"/><Relationship Id="rId8" Type="http://schemas.openxmlformats.org/officeDocument/2006/relationships/hyperlink" Target="https://mon.gov.ua/ua/tag/nova-ukrainska-shko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K4SkDAWO7jGqbIc7oGhsGFPgg==">CgMxLjAyCGguZ2pkZ3hzMgloLjMwajB6bGwyCWguMWZvYjl0ZTIJaC4zem55c2g3MgloLjJldDkycDAyCGgudHlqY3d0MgloLjNkeTZ2a20yCWguMXQzaDVzZjIJaC40ZDM0b2c4OAByITFhS0RQcGVPb3hXZDhjOTJfWXRzU1ZfTzJnRWZiNXVMNw==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2023-10-11T17:46:00Z</dcterms:created>
  <dc:creator>Марія</dc:creator>
</cp:coreProperties>
</file>

<file path=docProps/custom.xml><?xml version="1.0" encoding="utf-8"?>
<Properties xmlns="http://schemas.openxmlformats.org/officeDocument/2006/custom-properties" xmlns:vt="http://schemas.openxmlformats.org/officeDocument/2006/docPropsVTypes"/>
</file>