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КОМУНАЛЬНИЙ  ЗАКЛАД  ЛЬВІВСЬКОЇ  ОБЛАСНОЇ  РАДИ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«ЛЬВІВСЬКИЙ ОБЛАСНИЙ ІНСТИТУТ ПІСЛЯДИПЛОМНОЇ ПЕДАГОГІЧНОЇ ОСВІТИ»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Кафедра освітньої політики</w:t>
      </w:r>
    </w:p>
    <w:p w:rsidR="00000000" w:rsidDel="00000000" w:rsidP="00000000" w:rsidRDefault="00000000" w:rsidRPr="00000000" w14:paraId="00000005">
      <w:pPr>
        <w:ind w:firstLine="652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6521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ПРОГРАМА ПІДВИЩЕННЯ КВАЛІФІКАЦІЇ</w:t>
      </w:r>
    </w:p>
    <w:p w:rsidR="00000000" w:rsidDel="00000000" w:rsidP="00000000" w:rsidRDefault="00000000" w:rsidRPr="00000000" w14:paraId="0000001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учителів технологічної освітньої галузі  </w:t>
      </w:r>
    </w:p>
    <w:p w:rsidR="00000000" w:rsidDel="00000000" w:rsidP="00000000" w:rsidRDefault="00000000" w:rsidRPr="00000000" w14:paraId="00000012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"Реалізація Державного стандарту базової середньої освіти в другому циклі базової середньої освіти. Технологічна галузь.7клас" </w:t>
      </w:r>
    </w:p>
    <w:p w:rsidR="00000000" w:rsidDel="00000000" w:rsidP="00000000" w:rsidRDefault="00000000" w:rsidRPr="00000000" w14:paraId="00000013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16год 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Програма підвищення кваліфікації  розглянута і рекомендована</w:t>
      </w:r>
    </w:p>
    <w:p w:rsidR="00000000" w:rsidDel="00000000" w:rsidP="00000000" w:rsidRDefault="00000000" w:rsidRPr="00000000" w14:paraId="0000001A">
      <w:pPr>
        <w:ind w:left="2127" w:firstLine="0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до затвердження на засіданні кафедри освітньої політики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(протокол №8   від 16.09. 2024 р.)</w:t>
      </w:r>
    </w:p>
    <w:p w:rsidR="00000000" w:rsidDel="00000000" w:rsidP="00000000" w:rsidRDefault="00000000" w:rsidRPr="00000000" w14:paraId="0000001B">
      <w:pPr>
        <w:ind w:left="2127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127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</w:t>
      </w:r>
    </w:p>
    <w:p w:rsidR="00000000" w:rsidDel="00000000" w:rsidP="00000000" w:rsidRDefault="00000000" w:rsidRPr="00000000" w14:paraId="0000001D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Завідувач кафедри                                                                       Христина ЧУШАК</w:t>
      </w:r>
    </w:p>
    <w:p w:rsidR="00000000" w:rsidDel="00000000" w:rsidP="00000000" w:rsidRDefault="00000000" w:rsidRPr="00000000" w14:paraId="0000001E">
      <w:pPr>
        <w:ind w:left="2127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127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Програма підвищення кваліфікації затверджена науково-методичною радою  </w:t>
      </w:r>
    </w:p>
    <w:p w:rsidR="00000000" w:rsidDel="00000000" w:rsidP="00000000" w:rsidRDefault="00000000" w:rsidRPr="00000000" w14:paraId="00000021">
      <w:pPr>
        <w:ind w:left="2127" w:firstLine="0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127" w:firstLine="0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(протокол № 5 від   26.09.2024 р.)</w:t>
      </w:r>
    </w:p>
    <w:p w:rsidR="00000000" w:rsidDel="00000000" w:rsidP="00000000" w:rsidRDefault="00000000" w:rsidRPr="00000000" w14:paraId="00000023">
      <w:pPr>
        <w:ind w:left="2127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127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127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Голова науково-методичною   ради                                      </w:t>
        <w:tab/>
        <w:t xml:space="preserve">Павло ХОБЗЕЙ</w:t>
        <w:tab/>
        <w:tab/>
      </w:r>
    </w:p>
    <w:p w:rsidR="00000000" w:rsidDel="00000000" w:rsidP="00000000" w:rsidRDefault="00000000" w:rsidRPr="00000000" w14:paraId="00000027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І. ЗАГАЛЬНІ ВІДОМОСТІ</w:t>
      </w:r>
    </w:p>
    <w:p w:rsidR="00000000" w:rsidDel="00000000" w:rsidP="00000000" w:rsidRDefault="00000000" w:rsidRPr="00000000" w14:paraId="00000032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Найменування: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Програма підвищення кваліфікації  учителів технологічної освітньої галузі  "Реалізація Державного стандарту базової середньої освіти в другому циклі базової середньої освіти. Технологічна галузь.7клас"  </w:t>
      </w:r>
    </w:p>
    <w:p w:rsidR="00000000" w:rsidDel="00000000" w:rsidP="00000000" w:rsidRDefault="00000000" w:rsidRPr="00000000" w14:paraId="00000034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Розробники: Саф’янюк З., к.пед.н. доц. КОП КЗ ЛОР «ЛОІППО»</w:t>
      </w:r>
    </w:p>
    <w:p w:rsidR="00000000" w:rsidDel="00000000" w:rsidP="00000000" w:rsidRDefault="00000000" w:rsidRPr="00000000" w14:paraId="00000035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mbria" w:cs="Cambria" w:eastAsia="Cambria" w:hAnsi="Cambria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Мета: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розвиток загальних і професійних компетентностей вчителів 7-х класів (у тому числі вчителів класів (груп), в яких діти навчаються мовами національних меншин), необхідних для організації навчання, виховання і розвитку учнів відповідно до Концепції реалізації державної політики у сфері реформування загальної середньої освіти “Нова українська школа” та на основі Державного стандарту базової середньої освіти, затвердженого постановою Кабінету Міністрів України від 30 вересня 2020 року № 898.</w:t>
      </w:r>
    </w:p>
    <w:p w:rsidR="00000000" w:rsidDel="00000000" w:rsidP="00000000" w:rsidRDefault="00000000" w:rsidRPr="00000000" w14:paraId="00000037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Вид: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навчання за програмою підвищення кваліфікаці</w:t>
      </w:r>
      <w:bookmarkStart w:colFirst="0" w:colLast="0" w:name="bookmark=id.30j0zll" w:id="1"/>
      <w:bookmarkEnd w:id="1"/>
      <w:bookmarkStart w:colFirst="0" w:colLast="0" w:name="bookmark=id.1fob9te" w:id="2"/>
      <w:bookmarkEnd w:id="2"/>
      <w:r w:rsidDel="00000000" w:rsidR="00000000" w:rsidRPr="00000000">
        <w:rPr>
          <w:rFonts w:ascii="Cambria" w:cs="Cambria" w:eastAsia="Cambria" w:hAnsi="Cambria"/>
          <w:rtl w:val="0"/>
        </w:rPr>
        <w:t xml:space="preserve">ї.</w:t>
      </w:r>
    </w:p>
    <w:p w:rsidR="00000000" w:rsidDel="00000000" w:rsidP="00000000" w:rsidRDefault="00000000" w:rsidRPr="00000000" w14:paraId="00000039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-81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Напрям: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36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професійна діяльність вчителя (формування ключових компетентностей відповідно до Концепції реалізації державної пол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ітики у сфері реформування загальної середньої освіти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«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Нова українська школа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»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36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професійна та загальні компетентності, комунікативна компетентність. </w:t>
      </w:r>
    </w:p>
    <w:p w:rsidR="00000000" w:rsidDel="00000000" w:rsidP="00000000" w:rsidRDefault="00000000" w:rsidRPr="00000000" w14:paraId="0000003D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Обсяг: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16годин.</w:t>
      </w:r>
    </w:p>
    <w:p w:rsidR="00000000" w:rsidDel="00000000" w:rsidP="00000000" w:rsidRDefault="00000000" w:rsidRPr="00000000" w14:paraId="0000003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Місце (місця) надання освітньої послуги: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Комунальний заклад Львівської обласної ради  «Львівський обласний інститут післядипломної педагогічної освіти»</w:t>
      </w:r>
    </w:p>
    <w:p w:rsidR="00000000" w:rsidDel="00000000" w:rsidP="00000000" w:rsidRDefault="00000000" w:rsidRPr="00000000" w14:paraId="00000041">
      <w:pPr>
        <w:rPr>
          <w:rFonts w:ascii="Cambria" w:cs="Cambria" w:eastAsia="Cambria" w:hAnsi="Cambria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mbria" w:cs="Cambria" w:eastAsia="Cambria" w:hAnsi="Cambria"/>
          <w:b w:val="1"/>
          <w:color w:val="00000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highlight w:val="white"/>
          <w:rtl w:val="0"/>
        </w:rPr>
        <w:t xml:space="preserve">Формування та розвиток загальних компетентностей:</w:t>
      </w:r>
    </w:p>
    <w:p w:rsidR="00000000" w:rsidDel="00000000" w:rsidP="00000000" w:rsidRDefault="00000000" w:rsidRPr="00000000" w14:paraId="00000043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ЗК 02. Соціальної.</w:t>
      </w:r>
    </w:p>
    <w:p w:rsidR="00000000" w:rsidDel="00000000" w:rsidP="00000000" w:rsidRDefault="00000000" w:rsidRPr="00000000" w14:paraId="00000044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ЗК 03. Культурної</w:t>
      </w:r>
    </w:p>
    <w:p w:rsidR="00000000" w:rsidDel="00000000" w:rsidP="00000000" w:rsidRDefault="00000000" w:rsidRPr="00000000" w14:paraId="00000045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ЗК 04. Лідерської.</w:t>
      </w:r>
    </w:p>
    <w:p w:rsidR="00000000" w:rsidDel="00000000" w:rsidP="00000000" w:rsidRDefault="00000000" w:rsidRPr="00000000" w14:paraId="00000046">
      <w:pPr>
        <w:rPr>
          <w:rFonts w:ascii="Cambria" w:cs="Cambria" w:eastAsia="Cambria" w:hAnsi="Cambria"/>
          <w:b w:val="1"/>
          <w:color w:val="00000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highlight w:val="white"/>
          <w:rtl w:val="0"/>
        </w:rPr>
        <w:t xml:space="preserve">Формування та розвиток професійних компетентностей:</w:t>
      </w:r>
    </w:p>
    <w:p w:rsidR="00000000" w:rsidDel="00000000" w:rsidP="00000000" w:rsidRDefault="00000000" w:rsidRPr="00000000" w14:paraId="00000047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А2. Предметно-методичної.</w:t>
      </w:r>
    </w:p>
    <w:p w:rsidR="00000000" w:rsidDel="00000000" w:rsidP="00000000" w:rsidRDefault="00000000" w:rsidRPr="00000000" w14:paraId="00000048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А3. Інформаційно-цифрової.</w:t>
      </w:r>
    </w:p>
    <w:p w:rsidR="00000000" w:rsidDel="00000000" w:rsidP="00000000" w:rsidRDefault="00000000" w:rsidRPr="00000000" w14:paraId="00000049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Б1. Психологічної.</w:t>
      </w:r>
    </w:p>
    <w:p w:rsidR="00000000" w:rsidDel="00000000" w:rsidP="00000000" w:rsidRDefault="00000000" w:rsidRPr="00000000" w14:paraId="0000004A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Б3. Компетентності педагогічного партнерства.</w:t>
      </w:r>
    </w:p>
    <w:p w:rsidR="00000000" w:rsidDel="00000000" w:rsidP="00000000" w:rsidRDefault="00000000" w:rsidRPr="00000000" w14:paraId="0000004B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В3. Проєктувальної.</w:t>
      </w:r>
    </w:p>
    <w:p w:rsidR="00000000" w:rsidDel="00000000" w:rsidP="00000000" w:rsidRDefault="00000000" w:rsidRPr="00000000" w14:paraId="0000004C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Г1. Прогностичної.</w:t>
      </w:r>
    </w:p>
    <w:p w:rsidR="00000000" w:rsidDel="00000000" w:rsidP="00000000" w:rsidRDefault="00000000" w:rsidRPr="00000000" w14:paraId="0000004D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Г2. Організаційної.</w:t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Г3. Оцінювально-аналітичної.</w:t>
      </w:r>
    </w:p>
    <w:p w:rsidR="00000000" w:rsidDel="00000000" w:rsidP="00000000" w:rsidRDefault="00000000" w:rsidRPr="00000000" w14:paraId="0000004F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Д1. Інноваційної.</w:t>
      </w:r>
    </w:p>
    <w:p w:rsidR="00000000" w:rsidDel="00000000" w:rsidP="00000000" w:rsidRDefault="00000000" w:rsidRPr="00000000" w14:paraId="00000050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Д2. Компетентності навчання впродовж життя.</w:t>
      </w:r>
    </w:p>
    <w:p w:rsidR="00000000" w:rsidDel="00000000" w:rsidP="00000000" w:rsidRDefault="00000000" w:rsidRPr="00000000" w14:paraId="00000051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 Д3. Рефлексійної.</w:t>
      </w:r>
    </w:p>
    <w:p w:rsidR="00000000" w:rsidDel="00000000" w:rsidP="00000000" w:rsidRDefault="00000000" w:rsidRPr="00000000" w14:paraId="00000052">
      <w:pPr>
        <w:rPr>
          <w:rFonts w:ascii="Cambria" w:cs="Cambria" w:eastAsia="Cambria" w:hAnsi="Cambria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highlight w:val="white"/>
          <w:rtl w:val="0"/>
        </w:rPr>
        <w:t xml:space="preserve">Очікувані результати навчання: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використовує різноманітні  ефективні підходи до оцінювання; </w:t>
      </w:r>
    </w:p>
    <w:p w:rsidR="00000000" w:rsidDel="00000000" w:rsidP="00000000" w:rsidRDefault="00000000" w:rsidRPr="00000000" w14:paraId="0000005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розуміє важливість використання практичних інструментів для ефективного</w:t>
      </w:r>
    </w:p>
    <w:p w:rsidR="00000000" w:rsidDel="00000000" w:rsidP="00000000" w:rsidRDefault="00000000" w:rsidRPr="00000000" w14:paraId="0000005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планування та організації навчальної діяльності, спрямованої</w:t>
      </w:r>
    </w:p>
    <w:p w:rsidR="00000000" w:rsidDel="00000000" w:rsidP="00000000" w:rsidRDefault="00000000" w:rsidRPr="00000000" w14:paraId="0000005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на розвиток ключових компетентностей учнів у</w:t>
      </w:r>
    </w:p>
    <w:p w:rsidR="00000000" w:rsidDel="00000000" w:rsidP="00000000" w:rsidRDefault="00000000" w:rsidRPr="00000000" w14:paraId="0000005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технологічній галузі;</w:t>
      </w:r>
    </w:p>
    <w:p w:rsidR="00000000" w:rsidDel="00000000" w:rsidP="00000000" w:rsidRDefault="00000000" w:rsidRPr="00000000" w14:paraId="0000005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чітко розуміє основні принципи та підходи, які стосуються</w:t>
      </w:r>
    </w:p>
    <w:p w:rsidR="00000000" w:rsidDel="00000000" w:rsidP="00000000" w:rsidRDefault="00000000" w:rsidRPr="00000000" w14:paraId="0000005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організації навчального процесу в межах технологічної</w:t>
      </w:r>
    </w:p>
    <w:p w:rsidR="00000000" w:rsidDel="00000000" w:rsidP="00000000" w:rsidRDefault="00000000" w:rsidRPr="00000000" w14:paraId="0000005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освітньої галузі відповідно до реформи НУШ.</w:t>
      </w:r>
    </w:p>
    <w:p w:rsidR="00000000" w:rsidDel="00000000" w:rsidP="00000000" w:rsidRDefault="00000000" w:rsidRPr="00000000" w14:paraId="0000005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Вартість (у разі встановлення):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за кошти освітньої субвенції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highlight w:val="white"/>
          <w:rtl w:val="0"/>
        </w:rPr>
        <w:t xml:space="preserve">Документ, що видається за результатами підвищення кваліфікації: 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сертифікат</w:t>
      </w:r>
    </w:p>
    <w:p w:rsidR="00000000" w:rsidDel="00000000" w:rsidP="00000000" w:rsidRDefault="00000000" w:rsidRPr="00000000" w14:paraId="00000061">
      <w:pPr>
        <w:jc w:val="both"/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60" w:line="259" w:lineRule="auto"/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709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ІІ. ЗМІСТ ПРОГРАМИ</w:t>
      </w:r>
    </w:p>
    <w:p w:rsidR="00000000" w:rsidDel="00000000" w:rsidP="00000000" w:rsidRDefault="00000000" w:rsidRPr="00000000" w14:paraId="00000065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Модуль 1. Концептуальні засади реформи "Нова українська школа"</w:t>
      </w:r>
    </w:p>
    <w:p w:rsidR="00000000" w:rsidDel="00000000" w:rsidP="00000000" w:rsidRDefault="00000000" w:rsidRPr="00000000" w14:paraId="00000068">
      <w:pPr>
        <w:widowControl w:val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Концепція Нової української школи. Мета і ключові компоненти Концепції Нової української школи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Педагогіка партнерства, дитиноцентризм. Структура Державного стандарту базової середньої освіти. Ціннісні орієнтири базової середньої освіти.   Мета та компетентнісний потенціал освітніх галузей, обов'язкові результати навчання учнів технологічної освітньої галузі.  </w:t>
      </w:r>
    </w:p>
    <w:p w:rsidR="00000000" w:rsidDel="00000000" w:rsidP="00000000" w:rsidRDefault="00000000" w:rsidRPr="00000000" w14:paraId="0000006A">
      <w:pPr>
        <w:widowControl w:val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Час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за робочою навчальною програмою: Л-8 –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 годин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7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Тема 1.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Національний та міжнародний контекст трансформації шкільної освіти в Україні. Концептуальні засади реформи "Нова українська школа".</w:t>
      </w:r>
    </w:p>
    <w:p w:rsidR="00000000" w:rsidDel="00000000" w:rsidP="00000000" w:rsidRDefault="00000000" w:rsidRPr="00000000" w14:paraId="0000006E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Мета і ключові компоненти Концепції Нової української школи. Ціннісні орієнтири базової середньої освіти. Педагогіка партнерства.</w:t>
      </w:r>
    </w:p>
    <w:p w:rsidR="00000000" w:rsidDel="00000000" w:rsidP="00000000" w:rsidRDefault="00000000" w:rsidRPr="00000000" w14:paraId="0000006F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Концепція Нової української школи.</w:t>
      </w:r>
    </w:p>
    <w:p w:rsidR="00000000" w:rsidDel="00000000" w:rsidP="00000000" w:rsidRDefault="00000000" w:rsidRPr="00000000" w14:paraId="00000070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Час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за робочою навчальною програмою: Л-2</w:t>
      </w:r>
    </w:p>
    <w:p w:rsidR="00000000" w:rsidDel="00000000" w:rsidP="00000000" w:rsidRDefault="00000000" w:rsidRPr="00000000" w14:paraId="00000072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Тема 2.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Державний стандарт базової середньої освіти.  </w:t>
      </w:r>
    </w:p>
    <w:p w:rsidR="00000000" w:rsidDel="00000000" w:rsidP="00000000" w:rsidRDefault="00000000" w:rsidRPr="00000000" w14:paraId="00000074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Державний стандарт базової середньої освіти.</w:t>
      </w:r>
    </w:p>
    <w:p w:rsidR="00000000" w:rsidDel="00000000" w:rsidP="00000000" w:rsidRDefault="00000000" w:rsidRPr="00000000" w14:paraId="00000075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Мета та компетентнісний потенціал технологічної освітньої галузі</w:t>
      </w:r>
    </w:p>
    <w:p w:rsidR="00000000" w:rsidDel="00000000" w:rsidP="00000000" w:rsidRDefault="00000000" w:rsidRPr="00000000" w14:paraId="00000076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Розгортання цілей через очікувані результати.  Ядро змісту галузі. Модельні програми як орієнтир впровадження ДСБО</w:t>
      </w:r>
    </w:p>
    <w:p w:rsidR="00000000" w:rsidDel="00000000" w:rsidP="00000000" w:rsidRDefault="00000000" w:rsidRPr="00000000" w14:paraId="00000077">
      <w:pPr>
        <w:tabs>
          <w:tab w:val="left" w:leader="none" w:pos="993"/>
        </w:tabs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Час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за робочою навчальною програмою:   Л-2</w:t>
      </w:r>
    </w:p>
    <w:p w:rsidR="00000000" w:rsidDel="00000000" w:rsidP="00000000" w:rsidRDefault="00000000" w:rsidRPr="00000000" w14:paraId="00000079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Тема 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Універсальний дизайн. Освітні втрати та їх подолання.</w:t>
      </w:r>
    </w:p>
    <w:p w:rsidR="00000000" w:rsidDel="00000000" w:rsidP="00000000" w:rsidRDefault="00000000" w:rsidRPr="00000000" w14:paraId="0000007C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Час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за робочою навчальною програмою:   Л-2</w:t>
      </w:r>
    </w:p>
    <w:p w:rsidR="00000000" w:rsidDel="00000000" w:rsidP="00000000" w:rsidRDefault="00000000" w:rsidRPr="00000000" w14:paraId="0000007E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Тема 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Особливості мотивації учнівства 7-9 класів.</w:t>
      </w:r>
    </w:p>
    <w:p w:rsidR="00000000" w:rsidDel="00000000" w:rsidP="00000000" w:rsidRDefault="00000000" w:rsidRPr="00000000" w14:paraId="0000008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Суб’єктність учня в процесі оцінювання. Етичні вимоги до процесу оцінювання.</w:t>
      </w:r>
    </w:p>
    <w:p w:rsidR="00000000" w:rsidDel="00000000" w:rsidP="00000000" w:rsidRDefault="00000000" w:rsidRPr="00000000" w14:paraId="0000008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Час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за робочою навчальною програмою:   Л-2</w:t>
      </w:r>
    </w:p>
    <w:p w:rsidR="00000000" w:rsidDel="00000000" w:rsidP="00000000" w:rsidRDefault="00000000" w:rsidRPr="00000000" w14:paraId="0000008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Модуль 2 . Особливості реформи "Нова українська школа" у технологічній галузі. 7 клас.</w:t>
      </w:r>
    </w:p>
    <w:p w:rsidR="00000000" w:rsidDel="00000000" w:rsidP="00000000" w:rsidRDefault="00000000" w:rsidRPr="00000000" w14:paraId="00000086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Наказ МОНУ №1093 від 2.08.2024р.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Оцінювання навчальних досягнень учнів та інновації НУШ. Формувальне оцінювання та його виклики. 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Оцінювання як зворотній зв'язок для вчителя та учнів. Оцінювання в концепції НУШ. Критерії оцінювання: зрозумілість, прозорість, вплив на освітню діяльність.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робочою навчальною програмою:   П-8.  -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годин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Навчальний поступ учнівства у другому циклі базової середньої освіти. Індекси ТЕО ДСБСО у 7 класі.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Формувальне оцінювання. Суб’єктність учня в процесі оцінювання.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Час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за робочою навчальною програмою:   П-2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2.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Інструменти досягнення результатів освітньої галузі. Конструювання навчальної діяльності.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Використання у педагогічній діяльності електронних ресурсів.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Конструювання навчальної діяльності.з інтеграцією цифрових технологій.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Формування педагогічної спільноти задля розвитку професійних компетенцій учителів, для обміну ресурсами, ідеями, досвідом та підтримки одне одного.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Час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за робочою навчальною програмою: П-2. </w:t>
      </w:r>
    </w:p>
    <w:p w:rsidR="00000000" w:rsidDel="00000000" w:rsidP="00000000" w:rsidRDefault="00000000" w:rsidRPr="00000000" w14:paraId="00000096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993"/>
        </w:tabs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Тема 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Вимірювання результатів освітньої галузі.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Оцінювання в концепції НУШ. Етичні вимоги до процесу оцінювання.  Критерії оцінювання: зрозумілість, прозорість, вплив на освітню діяльність. Діяльнісний підхід та особливості оцінювання.</w:t>
      </w:r>
    </w:p>
    <w:p w:rsidR="00000000" w:rsidDel="00000000" w:rsidP="00000000" w:rsidRDefault="00000000" w:rsidRPr="00000000" w14:paraId="00000099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Час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за робочою навчальною програмою: П-2. </w:t>
      </w:r>
    </w:p>
    <w:p w:rsidR="00000000" w:rsidDel="00000000" w:rsidP="00000000" w:rsidRDefault="00000000" w:rsidRPr="00000000" w14:paraId="0000009B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Тема 4.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Види оцінювання: рекомендації для вчителів.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Основні види оцінювання результатів навчання учнів. Оцінювання як зворотній зв'язок для вчителя та учнів. </w:t>
      </w:r>
    </w:p>
    <w:p w:rsidR="00000000" w:rsidDel="00000000" w:rsidP="00000000" w:rsidRDefault="00000000" w:rsidRPr="00000000" w14:paraId="0000009E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Перевірка результатів навчання: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рефлексія згідно тематики модулів.</w:t>
      </w:r>
    </w:p>
    <w:p w:rsidR="00000000" w:rsidDel="00000000" w:rsidP="00000000" w:rsidRDefault="00000000" w:rsidRPr="00000000" w14:paraId="000000A0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60" w:line="259" w:lineRule="auto"/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ІІІ. РОЗПОДІЛ ГОДИН ЗА ВИДАМИ ДІЯЛЬНОСТІ</w:t>
      </w:r>
    </w:p>
    <w:p w:rsidR="00000000" w:rsidDel="00000000" w:rsidP="00000000" w:rsidRDefault="00000000" w:rsidRPr="00000000" w14:paraId="000000A3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08"/>
        <w:gridCol w:w="237"/>
        <w:gridCol w:w="893"/>
        <w:gridCol w:w="1704"/>
        <w:gridCol w:w="1416"/>
        <w:gridCol w:w="6"/>
        <w:tblGridChange w:id="0">
          <w:tblGrid>
            <w:gridCol w:w="5208"/>
            <w:gridCol w:w="237"/>
            <w:gridCol w:w="893"/>
            <w:gridCol w:w="1704"/>
            <w:gridCol w:w="1416"/>
            <w:gridCol w:w="6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Назви тем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Кількість годин</w:t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spacing w:line="276" w:lineRule="auto"/>
              <w:ind w:left="-209" w:firstLine="209"/>
              <w:jc w:val="center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Лекції 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Практичні</w:t>
            </w:r>
          </w:p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Разом</w:t>
            </w:r>
          </w:p>
        </w:tc>
      </w:tr>
      <w:tr>
        <w:trPr>
          <w:cantSplit w:val="1"/>
          <w:trHeight w:val="93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B0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Модуль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1.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Концептуальні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засади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реформи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"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Нова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українська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школа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d9e2f3" w:val="clear"/>
          </w:tcPr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d9e2f3" w:val="clear"/>
          </w:tcPr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00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3000"/>
              <w:tblGridChange w:id="0">
                <w:tblGrid>
                  <w:gridCol w:w="30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B7">
                  <w:pPr>
                    <w:ind w:right="352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8">
            <w:pPr>
              <w:tabs>
                <w:tab w:val="left" w:leader="none" w:pos="993"/>
              </w:tabs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d9e2f3" w:val="clear"/>
          </w:tcPr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d9e2f3" w:val="clear"/>
          </w:tcPr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Національний та міжнародний контекст трансформації шкільної освіти в Україні. Концептуальні засади реформи "Нова українська школа".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 Державний стандарт базової середньої освіти.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Універсальний дизайн.Освітні втрати та їх подолання.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Особливості мотивації учнівства 7-9 класів.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00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3000"/>
              <w:tblGridChange w:id="0">
                <w:tblGrid>
                  <w:gridCol w:w="30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DD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rtl w:val="0"/>
                    </w:rPr>
                    <w:t xml:space="preserve">Модуль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 2.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rtl w:val="0"/>
                    </w:rPr>
                    <w:t xml:space="preserve">Особливості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rtl w:val="0"/>
                    </w:rPr>
                    <w:t xml:space="preserve">реформи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 "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rtl w:val="0"/>
                    </w:rPr>
                    <w:t xml:space="preserve">Нова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rtl w:val="0"/>
                    </w:rPr>
                    <w:t xml:space="preserve">українська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rtl w:val="0"/>
                    </w:rPr>
                    <w:t xml:space="preserve">школа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"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rtl w:val="0"/>
                    </w:rPr>
                    <w:t xml:space="preserve">у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rtl w:val="0"/>
                    </w:rPr>
                    <w:t xml:space="preserve">технологічній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rtl w:val="0"/>
                    </w:rPr>
                    <w:t xml:space="preserve">галузі. 7 клас.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d9e2f3" w:val="clear"/>
          </w:tcPr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d9e2f3" w:val="clear"/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E1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E4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d9e2f3" w:val="clear"/>
          </w:tcPr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d9e2f3" w:val="clear"/>
          </w:tcPr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E7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Навчальний поступ</w:t>
              <w:br w:type="textWrapping"/>
              <w:t xml:space="preserve">учнівства у другому циклі базової середньої освіти.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Інструменти досягнення результатів освітньої галузі.</w:t>
              <w:br w:type="textWrapping"/>
              <w:t xml:space="preserve">Конструювання навчальної діяльності.</w:t>
            </w:r>
          </w:p>
          <w:p w:rsidR="00000000" w:rsidDel="00000000" w:rsidP="00000000" w:rsidRDefault="00000000" w:rsidRPr="00000000" w14:paraId="000000F2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3. Вимірювання результатів освітньої галузі. </w:t>
            </w:r>
          </w:p>
          <w:p w:rsidR="00000000" w:rsidDel="00000000" w:rsidP="00000000" w:rsidRDefault="00000000" w:rsidRPr="00000000" w14:paraId="000000F9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4. Види оцінювання:</w:t>
              <w:br w:type="textWrapping"/>
              <w:t xml:space="preserve">рекомендації для вчителів.</w:t>
            </w:r>
          </w:p>
          <w:p w:rsidR="00000000" w:rsidDel="00000000" w:rsidP="00000000" w:rsidRDefault="00000000" w:rsidRPr="00000000" w14:paraId="0000010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tcBorders>
              <w:right w:color="000000" w:space="0" w:sz="0" w:val="nil"/>
            </w:tcBorders>
            <w:shd w:fill="d9e2f3" w:val="clear"/>
          </w:tcPr>
          <w:p w:rsidR="00000000" w:rsidDel="00000000" w:rsidP="00000000" w:rsidRDefault="00000000" w:rsidRPr="00000000" w14:paraId="0000010D">
            <w:pPr>
              <w:spacing w:line="276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d9e2f3" w:val="clear"/>
          </w:tcPr>
          <w:p w:rsidR="00000000" w:rsidDel="00000000" w:rsidP="00000000" w:rsidRDefault="00000000" w:rsidRPr="00000000" w14:paraId="0000010E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0F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gridSpan w:val="2"/>
            <w:shd w:fill="d9e2f3" w:val="clear"/>
          </w:tcPr>
          <w:p w:rsidR="00000000" w:rsidDel="00000000" w:rsidP="00000000" w:rsidRDefault="00000000" w:rsidRPr="00000000" w14:paraId="00000110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112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160" w:line="259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160" w:line="259" w:lineRule="auto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160" w:line="259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ВИКОРИСТАНІ ДЖЕРЕЛА ТА КОРИСНІ РЕСУРСИ:</w:t>
      </w:r>
    </w:p>
    <w:p w:rsidR="00000000" w:rsidDel="00000000" w:rsidP="00000000" w:rsidRDefault="00000000" w:rsidRPr="00000000" w14:paraId="00000117">
      <w:pPr>
        <w:widowControl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ДЕРЖАВНИЙ СТАНДАРТ БАЗОВОЇ СЕРЕДНЬОЇ ОСВІТИ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https://mon.gov.ua/ua/osvita/zagalna-serednya-osvita/nova-ukrayinska-shkola/derzhavnij-standart-bazovoyi-serednoyi-osviti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9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ДЕРЖАВНИЙ СТАНДАРТ БАЗОВОЇ СЕРЕДНЬОЇ ОСВІТИ</w:t>
      </w:r>
    </w:p>
    <w:p w:rsidR="00000000" w:rsidDel="00000000" w:rsidP="00000000" w:rsidRDefault="00000000" w:rsidRPr="00000000" w14:paraId="0000011A">
      <w:pPr>
        <w:ind w:left="720" w:firstLine="0"/>
        <w:rPr>
          <w:sz w:val="28"/>
          <w:szCs w:val="28"/>
        </w:rPr>
      </w:pP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https://www.kmu.gov.ua/storage/app/uploads/public/5f7/5e6/b1e/5f75e6b1ee0d8989401323.doc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B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Модельні навчальні програми для 5-9 класів Нової української школи (запроваджуються поетапно з 2022 року) </w:t>
      </w:r>
      <w:hyperlink r:id="rId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https://mon.gov.ua/ua/osvita/zagalna-serednya-osvita/navchalni-programi/modelni-navchalni-programi-dlya-5-9-klasiv-novoyi-ukrayinskoyi-shkoli-zaprovadzhuyutsya-poetapno-z-2022-roku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C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Електронні версії підручників  </w:t>
      </w:r>
      <w:hyperlink r:id="rId1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https://imzo.gov.ua/pidruchniki/elektronni-versiyi-pidruchnikiv/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Вебінар «Як оцінювати учнівство 5–9 класів НУШ»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https://www.youtube.com/watch?v=FqGf82-w7v0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Технологічна галузь. Серія вебінарів технологічної галузі “Майстерклас: навчання для тренерів НУШ у 7-9 класах”</w:t>
      </w:r>
    </w:p>
    <w:p w:rsidR="00000000" w:rsidDel="00000000" w:rsidP="00000000" w:rsidRDefault="00000000" w:rsidRPr="00000000" w14:paraId="00000120">
      <w:pPr>
        <w:ind w:left="720" w:firstLine="0"/>
        <w:rPr>
          <w:sz w:val="28"/>
          <w:szCs w:val="28"/>
        </w:rPr>
      </w:pPr>
      <w:hyperlink r:id="rId12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https://osvitoria.university/courses/tekhnolohichna-haluz/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21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31F2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uk-UA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B009E"/>
    <w:pPr>
      <w:spacing w:after="160"/>
      <w:ind w:left="720"/>
      <w:contextualSpacing w:val="1"/>
    </w:pPr>
    <w:rPr>
      <w:rFonts w:cstheme="minorBidi" w:eastAsiaTheme="minorHAnsi"/>
      <w:sz w:val="28"/>
      <w:szCs w:val="22"/>
      <w:lang w:eastAsia="en-US" w:val="ru-RU"/>
    </w:rPr>
  </w:style>
  <w:style w:type="paragraph" w:styleId="a4">
    <w:name w:val="header"/>
    <w:basedOn w:val="a"/>
    <w:link w:val="a5"/>
    <w:uiPriority w:val="99"/>
    <w:unhideWhenUsed w:val="1"/>
    <w:rsid w:val="0026234A"/>
    <w:pPr>
      <w:tabs>
        <w:tab w:val="center" w:pos="4677"/>
        <w:tab w:val="right" w:pos="9355"/>
      </w:tabs>
    </w:pPr>
  </w:style>
  <w:style w:type="character" w:styleId="a5" w:customStyle="1">
    <w:name w:val="Верхній колонтитул Знак"/>
    <w:basedOn w:val="a0"/>
    <w:link w:val="a4"/>
    <w:uiPriority w:val="99"/>
    <w:rsid w:val="0026234A"/>
    <w:rPr>
      <w:rFonts w:ascii="Times New Roman" w:cs="Times New Roman" w:eastAsia="Times New Roman" w:hAnsi="Times New Roman"/>
      <w:sz w:val="24"/>
      <w:szCs w:val="24"/>
      <w:lang w:eastAsia="uk-UA" w:val="uk-UA"/>
    </w:rPr>
  </w:style>
  <w:style w:type="paragraph" w:styleId="a6">
    <w:name w:val="footer"/>
    <w:basedOn w:val="a"/>
    <w:link w:val="a7"/>
    <w:uiPriority w:val="99"/>
    <w:unhideWhenUsed w:val="1"/>
    <w:rsid w:val="0026234A"/>
    <w:pPr>
      <w:tabs>
        <w:tab w:val="center" w:pos="4677"/>
        <w:tab w:val="right" w:pos="9355"/>
      </w:tabs>
    </w:pPr>
  </w:style>
  <w:style w:type="character" w:styleId="a7" w:customStyle="1">
    <w:name w:val="Нижній колонтитул Знак"/>
    <w:basedOn w:val="a0"/>
    <w:link w:val="a6"/>
    <w:uiPriority w:val="99"/>
    <w:rsid w:val="0026234A"/>
    <w:rPr>
      <w:rFonts w:ascii="Times New Roman" w:cs="Times New Roman" w:eastAsia="Times New Roman" w:hAnsi="Times New Roman"/>
      <w:sz w:val="24"/>
      <w:szCs w:val="24"/>
      <w:lang w:eastAsia="uk-UA" w:val="uk-UA"/>
    </w:rPr>
  </w:style>
  <w:style w:type="paragraph" w:styleId="a8">
    <w:name w:val="Normal (Web)"/>
    <w:basedOn w:val="a"/>
    <w:uiPriority w:val="99"/>
    <w:unhideWhenUsed w:val="1"/>
    <w:rsid w:val="00FA28BC"/>
    <w:pPr>
      <w:spacing w:after="100" w:afterAutospacing="1" w:before="100" w:beforeAutospacing="1"/>
    </w:pPr>
    <w:rPr>
      <w:lang w:eastAsia="ru-RU" w:val="ru-RU"/>
    </w:rPr>
  </w:style>
  <w:style w:type="paragraph" w:styleId="env-commercial-course-about-subtitle" w:customStyle="1">
    <w:name w:val="env-commercial-course-about-subtitle"/>
    <w:basedOn w:val="a"/>
    <w:rsid w:val="00926768"/>
    <w:pPr>
      <w:spacing w:after="100" w:afterAutospacing="1" w:before="100" w:beforeAutospacing="1"/>
    </w:pPr>
  </w:style>
  <w:style w:type="paragraph" w:styleId="env-commercial-course-about-buy-card-description" w:customStyle="1">
    <w:name w:val="env-commercial-course-about-buy-card-description"/>
    <w:basedOn w:val="a"/>
    <w:rsid w:val="00926768"/>
    <w:pPr>
      <w:spacing w:after="100" w:afterAutospacing="1" w:before="100" w:beforeAutospacing="1"/>
    </w:pPr>
  </w:style>
  <w:style w:type="character" w:styleId="a9">
    <w:name w:val="Hyperlink"/>
    <w:basedOn w:val="a0"/>
    <w:uiPriority w:val="99"/>
    <w:unhideWhenUsed w:val="1"/>
    <w:rsid w:val="00FE00C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FqGf82-w7v0" TargetMode="External"/><Relationship Id="rId10" Type="http://schemas.openxmlformats.org/officeDocument/2006/relationships/hyperlink" Target="https://imzo.gov.ua/pidruchniki/elektronni-versiyi-pidruchnikiv/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osvitoria.university/courses/tekhnolohichna-haluz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on.gov.ua/ua/osvita/zagalna-serednya-osvita/navchalni-programi/modelni-navchalni-programi-dlya-5-9-klasiv-novoyi-ukrayinskoyi-shkoli-zaprovadzhuyutsya-poetapno-z-2022-rok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n.gov.ua/ua/osvita/zagalna-serednya-osvita/nova-ukrayinska-shkola/derzhavnij-standart-bazovoyi-serednoyi-osviti" TargetMode="External"/><Relationship Id="rId8" Type="http://schemas.openxmlformats.org/officeDocument/2006/relationships/hyperlink" Target="https://www.kmu.gov.ua/storage/app/uploads/public/5f7/5e6/b1e/5f75e6b1ee0d8989401323.do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cTSBzwIf6Z0ANvYW/grShQY/w==">CgMxLjAyCGguZ2pkZ3hzMgppZC4zMGowemxsMgppZC4xZm9iOXRlOAByITFzclJuWFNGdWFZdXhpS191QnphQ2NjWGVVR0FfZy1mRg==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2024-10-13T10:35:00Z</dcterms:created>
  <dc:creator>Iryna Kostyuk</dc:creator>
</cp:coreProperties>
</file>