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КОМУНАЛЬНИЙ  ЗАКЛАД  ЛЬВІВСЬКОЇ  ОБЛАСНОЇ  РАДИ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«ЛЬВІВСЬКИЙ ОБЛАСНИЙ ІНСТИТУТ ПІСЛЯДИПЛОМНОЇ ПЕДАГОГІЧНОЇ ОСВІТИ»</w:t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Кафедра педагогіки</w:t>
      </w:r>
    </w:p>
    <w:p w:rsidR="00000000" w:rsidDel="00000000" w:rsidP="00000000" w:rsidRDefault="00000000" w:rsidRPr="00000000" w14:paraId="00000005">
      <w:pPr>
        <w:ind w:firstLine="652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6521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ПРОГРАМА ПІДВИЩЕННЯ КВАЛІФІКАЦІЇ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вчителів інформатики  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«Реалізація Державного стандарту базової середньої освіти в другому циклі базової освіти. Інформатика»</w:t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8">
      <w:pPr>
        <w:ind w:left="212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2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2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127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Програма підвищення кваліфікації  розглянута і рекомендована</w:t>
      </w:r>
    </w:p>
    <w:p w:rsidR="00000000" w:rsidDel="00000000" w:rsidP="00000000" w:rsidRDefault="00000000" w:rsidRPr="00000000" w14:paraId="0000001D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 затвердження на засіданні кафедри педагогіки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(протокол № 1  від  </w:t>
      </w:r>
      <w:r w:rsidDel="00000000" w:rsidR="00000000" w:rsidRPr="00000000">
        <w:rPr>
          <w:i w:val="1"/>
          <w:sz w:val="26"/>
          <w:szCs w:val="26"/>
          <w:rtl w:val="0"/>
        </w:rPr>
        <w:t xml:space="preserve">9.09.2024 р.)</w:t>
      </w:r>
    </w:p>
    <w:p w:rsidR="00000000" w:rsidDel="00000000" w:rsidP="00000000" w:rsidRDefault="00000000" w:rsidRPr="00000000" w14:paraId="00000020">
      <w:pPr>
        <w:ind w:left="2127" w:firstLine="0"/>
        <w:rPr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27" w:firstLine="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Завідувач кафедри                                                     Галина ЛОЇК</w:t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i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Програма підвищення кваліфікації затверджена науково-методичною радою  </w:t>
      </w:r>
      <w:r w:rsidDel="00000000" w:rsidR="00000000" w:rsidRPr="00000000">
        <w:rPr>
          <w:i w:val="1"/>
          <w:sz w:val="26"/>
          <w:szCs w:val="26"/>
          <w:rtl w:val="0"/>
        </w:rPr>
        <w:t xml:space="preserve">(протокол № 5 від  26.09.2024 р.)</w:t>
      </w:r>
    </w:p>
    <w:p w:rsidR="00000000" w:rsidDel="00000000" w:rsidP="00000000" w:rsidRDefault="00000000" w:rsidRPr="00000000" w14:paraId="0000002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Голова науково-методичною ради                                     Павло ХОБЗЕЙ</w:t>
      </w:r>
    </w:p>
    <w:p w:rsidR="00000000" w:rsidDel="00000000" w:rsidP="00000000" w:rsidRDefault="00000000" w:rsidRPr="00000000" w14:paraId="0000002A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І. ЗАГАЛЬНІ ВІДОМОСТІ</w:t>
      </w:r>
    </w:p>
    <w:p w:rsidR="00000000" w:rsidDel="00000000" w:rsidP="00000000" w:rsidRDefault="00000000" w:rsidRPr="00000000" w14:paraId="0000003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Найменування: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Програма підвищення кваліфікації  вчителів інформатики - тренерів «Реалізація Державного стандарту базової середньої освіти в другому циклі базової освіти. Інформатика»</w:t>
      </w:r>
    </w:p>
    <w:p w:rsidR="00000000" w:rsidDel="00000000" w:rsidP="00000000" w:rsidRDefault="00000000" w:rsidRPr="00000000" w14:paraId="0000003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Розробники: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Л.Палюшок, старша викладачка кафедри педагогіки, Н.Манько, викладачка кафедри педагогіки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Мета: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розвиток загальних і професійних компетентностей вчителів інформатики, які викладають у 7-му класі (у тому числі вчителів класів (груп), в яких діти навчаються мовами національних меншин), необхідних для організації навчання, виховання і розвитку учнів відповідно до Концепції реалізації державної політики у сфері реформування загальної середньої освіти “Нова українська школа” та на основі Державного стандарту базової середньої освіти, затвердженого постановою Кабінету Міністрів України від 30 вересня 2020 року № 898.</w:t>
      </w:r>
    </w:p>
    <w:p w:rsidR="00000000" w:rsidDel="00000000" w:rsidP="00000000" w:rsidRDefault="00000000" w:rsidRPr="00000000" w14:paraId="00000037">
      <w:pPr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Вид: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навчання за програмою підвищення кваліфікаці</w:t>
      </w:r>
      <w:bookmarkStart w:colFirst="0" w:colLast="0" w:name="bookmark=id.30j0zll" w:id="1"/>
      <w:bookmarkEnd w:id="1"/>
      <w:bookmarkStart w:colFirst="0" w:colLast="0" w:name="bookmark=id.1fob9te" w:id="2"/>
      <w:bookmarkEnd w:id="2"/>
      <w:r w:rsidDel="00000000" w:rsidR="00000000" w:rsidRPr="00000000">
        <w:rPr>
          <w:rFonts w:ascii="Cambria" w:cs="Cambria" w:eastAsia="Cambria" w:hAnsi="Cambria"/>
          <w:rtl w:val="0"/>
        </w:rPr>
        <w:t xml:space="preserve">ї.</w:t>
      </w:r>
    </w:p>
    <w:p w:rsidR="00000000" w:rsidDel="00000000" w:rsidP="00000000" w:rsidRDefault="00000000" w:rsidRPr="00000000" w14:paraId="00000039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-81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Напрям: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професійна діяльність вчителя (формування ключових компетентностей відповідно до Концепції реалізації державної пол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ітики у сфері реформування загальної середньої освіти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«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Нова українська школа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»</w:t>
      </w:r>
      <w:r w:rsidDel="00000000" w:rsidR="00000000" w:rsidRPr="00000000">
        <w:rPr>
          <w:rFonts w:ascii="Cambria" w:cs="Cambria" w:eastAsia="Cambria" w:hAnsi="Cambria"/>
          <w:highlight w:val="whit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36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професійна компетентність, комунікативна компетентність </w:t>
      </w:r>
    </w:p>
    <w:p w:rsidR="00000000" w:rsidDel="00000000" w:rsidP="00000000" w:rsidRDefault="00000000" w:rsidRPr="00000000" w14:paraId="0000003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Обсяг: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30 годин.</w:t>
      </w:r>
    </w:p>
    <w:p w:rsidR="00000000" w:rsidDel="00000000" w:rsidP="00000000" w:rsidRDefault="00000000" w:rsidRPr="00000000" w14:paraId="0000003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Місце (місця) надання освітньої послуги: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Комунальний заклад Львівської обласної ради  «Львівський обласний інститут післядипломної педагогічної освіти», заклади освіти області</w:t>
      </w:r>
    </w:p>
    <w:p w:rsidR="00000000" w:rsidDel="00000000" w:rsidP="00000000" w:rsidRDefault="00000000" w:rsidRPr="00000000" w14:paraId="00000041">
      <w:pPr>
        <w:rPr>
          <w:rFonts w:ascii="Cambria" w:cs="Cambria" w:eastAsia="Cambria" w:hAnsi="Cambria"/>
          <w:b w:val="1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Очікувані результати навчання: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43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 результаті проходження навчання вчителі  будуть: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орієнтуватися у каталозі модельних програм для інформативної галузі в 7-9 класах на основі ДСБО;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вміти створювати власну навчальну програму на основі запропонованих модельних з урахуванням вимог ДСБО; 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реалізовувати універсальний дизайн навчання з метою рівного доступу до якісної освіти всіх категорій здобувачів;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вміти конструювати власну та учнівську навчальну діяльність;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вміти оцінювати результати навчання учнів в другому циклі базової середньої освіти;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36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використовувати штучний інтелект в процесі викладання предмету та для особистісного професійного зростання.</w:t>
      </w:r>
    </w:p>
    <w:p w:rsidR="00000000" w:rsidDel="00000000" w:rsidP="00000000" w:rsidRDefault="00000000" w:rsidRPr="00000000" w14:paraId="0000004A">
      <w:pPr>
        <w:jc w:val="both"/>
        <w:rPr>
          <w:rFonts w:ascii="Cambria" w:cs="Cambria" w:eastAsia="Cambria" w:hAnsi="Cambria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highlight w:val="lightGray"/>
          <w:rtl w:val="0"/>
        </w:rPr>
        <w:t xml:space="preserve">Вартість (у разі встановлення): </w:t>
      </w:r>
      <w:r w:rsidDel="00000000" w:rsidR="00000000" w:rsidRPr="00000000">
        <w:rPr>
          <w:rFonts w:ascii="Cambria" w:cs="Cambria" w:eastAsia="Cambria" w:hAnsi="Cambria"/>
          <w:highlight w:val="lightGray"/>
          <w:rtl w:val="0"/>
        </w:rPr>
        <w:t xml:space="preserve">за кошти освітньої субвенції відповідно до Постанови КМУ від 4 квітня 2018 р. N 237 «Деякі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mbria" w:cs="Cambria" w:eastAsia="Cambria" w:hAnsi="Cambria"/>
          <w:color w:val="00000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highlight w:val="white"/>
          <w:rtl w:val="0"/>
        </w:rPr>
        <w:t xml:space="preserve">Документ, що видається за результатами підвищення кваліфікації: </w:t>
      </w:r>
      <w:r w:rsidDel="00000000" w:rsidR="00000000" w:rsidRPr="00000000">
        <w:rPr>
          <w:rFonts w:ascii="Cambria" w:cs="Cambria" w:eastAsia="Cambria" w:hAnsi="Cambria"/>
          <w:color w:val="000000"/>
          <w:highlight w:val="white"/>
          <w:rtl w:val="0"/>
        </w:rPr>
        <w:t xml:space="preserve">сертифікат</w:t>
      </w:r>
    </w:p>
    <w:p w:rsidR="00000000" w:rsidDel="00000000" w:rsidP="00000000" w:rsidRDefault="00000000" w:rsidRPr="00000000" w14:paraId="0000004C">
      <w:pPr>
        <w:spacing w:after="160" w:line="259" w:lineRule="auto"/>
        <w:rPr>
          <w:rFonts w:ascii="Cambria" w:cs="Cambria" w:eastAsia="Cambria" w:hAnsi="Cambria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ІІ. ЗМІСТ ПРОГРАМИ</w:t>
      </w:r>
    </w:p>
    <w:p w:rsidR="00000000" w:rsidDel="00000000" w:rsidP="00000000" w:rsidRDefault="00000000" w:rsidRPr="00000000" w14:paraId="0000004D">
      <w:pPr>
        <w:spacing w:befor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Інтеграційно-мотиваційне заняття</w:t>
      </w:r>
    </w:p>
    <w:p w:rsidR="00000000" w:rsidDel="00000000" w:rsidP="00000000" w:rsidRDefault="00000000" w:rsidRPr="00000000" w14:paraId="0000004E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1 година</w:t>
      </w:r>
    </w:p>
    <w:p w:rsidR="00000000" w:rsidDel="00000000" w:rsidP="00000000" w:rsidRDefault="00000000" w:rsidRPr="00000000" w14:paraId="0000004F">
      <w:pPr>
        <w:tabs>
          <w:tab w:val="left" w:leader="none" w:pos="993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Реєстрація учасників. Ознайомлення з програмою модуля. Формування очікувань учасників (практичне, 1 година)</w:t>
      </w:r>
    </w:p>
    <w:p w:rsidR="00000000" w:rsidDel="00000000" w:rsidP="00000000" w:rsidRDefault="00000000" w:rsidRPr="00000000" w14:paraId="00000050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1. Освітні втрати та шляхи їх подолання</w:t>
      </w:r>
    </w:p>
    <w:p w:rsidR="00000000" w:rsidDel="00000000" w:rsidP="00000000" w:rsidRDefault="00000000" w:rsidRPr="00000000" w14:paraId="00000051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2 години</w:t>
      </w:r>
    </w:p>
    <w:p w:rsidR="00000000" w:rsidDel="00000000" w:rsidP="00000000" w:rsidRDefault="00000000" w:rsidRPr="00000000" w14:paraId="00000052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Освітні втрати. Основні причини їх виникнення.</w:t>
      </w:r>
      <w:r w:rsidDel="00000000" w:rsidR="00000000" w:rsidRPr="00000000">
        <w:rPr>
          <w:i w:val="1"/>
          <w:rtl w:val="0"/>
        </w:rPr>
        <w:t xml:space="preserve">(лекційне – 1 година)</w:t>
      </w:r>
    </w:p>
    <w:p w:rsidR="00000000" w:rsidDel="00000000" w:rsidP="00000000" w:rsidRDefault="00000000" w:rsidRPr="00000000" w14:paraId="00000053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лекційного заняття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Освітні втрати та освітні розриви. Причини їх виникнення.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Наслідки освітніх втрат.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Шляхи подолання освітніх втрат.</w:t>
      </w:r>
    </w:p>
    <w:p w:rsidR="00000000" w:rsidDel="00000000" w:rsidP="00000000" w:rsidRDefault="00000000" w:rsidRPr="00000000" w14:paraId="00000058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Шляхи подолання освітніх втрат в інформатиці. Роль інформаційних технологій у подолання освітніх втрат. </w:t>
      </w:r>
      <w:r w:rsidDel="00000000" w:rsidR="00000000" w:rsidRPr="00000000">
        <w:rPr>
          <w:i w:val="1"/>
          <w:rtl w:val="0"/>
        </w:rPr>
        <w:t xml:space="preserve">(практичне – 1 година)</w:t>
      </w:r>
    </w:p>
    <w:p w:rsidR="00000000" w:rsidDel="00000000" w:rsidP="00000000" w:rsidRDefault="00000000" w:rsidRPr="00000000" w14:paraId="0000005A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Шляхи подолання освітніх втрат в інформатиці.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Роль цифрових технологій для оцінювання освітніх втрат і їх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подолання.</w:t>
      </w:r>
    </w:p>
    <w:p w:rsidR="00000000" w:rsidDel="00000000" w:rsidP="00000000" w:rsidRDefault="00000000" w:rsidRPr="00000000" w14:paraId="0000005E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2. Психологічні особливості учнівства 7-9 класів. Особливості мотивації підлітків.</w:t>
      </w:r>
    </w:p>
    <w:p w:rsidR="00000000" w:rsidDel="00000000" w:rsidP="00000000" w:rsidRDefault="00000000" w:rsidRPr="00000000" w14:paraId="0000005F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2 години</w:t>
      </w:r>
    </w:p>
    <w:p w:rsidR="00000000" w:rsidDel="00000000" w:rsidP="00000000" w:rsidRDefault="00000000" w:rsidRPr="00000000" w14:paraId="00000060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Психологічні особливості учнівства 7-9 класів. Емоційний інтелект. </w:t>
      </w:r>
      <w:r w:rsidDel="00000000" w:rsidR="00000000" w:rsidRPr="00000000">
        <w:rPr>
          <w:i w:val="1"/>
          <w:rtl w:val="0"/>
        </w:rPr>
        <w:t xml:space="preserve">(лекційне – 1 година)</w:t>
      </w:r>
    </w:p>
    <w:p w:rsidR="00000000" w:rsidDel="00000000" w:rsidP="00000000" w:rsidRDefault="00000000" w:rsidRPr="00000000" w14:paraId="00000061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лекційного заняття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Особливості психологічного розвитку підлітка.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Розвиток соціально-емоційних навичок учня - рушійна сила для формування емоційного інтелекту.</w:t>
      </w:r>
    </w:p>
    <w:p w:rsidR="00000000" w:rsidDel="00000000" w:rsidP="00000000" w:rsidRDefault="00000000" w:rsidRPr="00000000" w14:paraId="00000064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Особливості мотивації учнівства 7-9 класів .</w:t>
      </w:r>
      <w:r w:rsidDel="00000000" w:rsidR="00000000" w:rsidRPr="00000000">
        <w:rPr>
          <w:i w:val="1"/>
          <w:rtl w:val="0"/>
        </w:rPr>
        <w:t xml:space="preserve">(лекційне – 1 година)</w:t>
      </w:r>
    </w:p>
    <w:p w:rsidR="00000000" w:rsidDel="00000000" w:rsidP="00000000" w:rsidRDefault="00000000" w:rsidRPr="00000000" w14:paraId="00000065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лекційного заняття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Види мотивації.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Причини зниження мотивації.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Техніки підвищення мотивації підлітків.</w:t>
      </w:r>
    </w:p>
    <w:p w:rsidR="00000000" w:rsidDel="00000000" w:rsidP="00000000" w:rsidRDefault="00000000" w:rsidRPr="00000000" w14:paraId="00000069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3. Універсальний дизайн навчання</w:t>
      </w:r>
    </w:p>
    <w:p w:rsidR="00000000" w:rsidDel="00000000" w:rsidP="00000000" w:rsidRDefault="00000000" w:rsidRPr="00000000" w14:paraId="0000006B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3 години</w:t>
      </w:r>
    </w:p>
    <w:p w:rsidR="00000000" w:rsidDel="00000000" w:rsidP="00000000" w:rsidRDefault="00000000" w:rsidRPr="00000000" w14:paraId="0000006C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Поняття універсального дизайну навчання </w:t>
      </w:r>
      <w:r w:rsidDel="00000000" w:rsidR="00000000" w:rsidRPr="00000000">
        <w:rPr>
          <w:i w:val="1"/>
          <w:rtl w:val="0"/>
        </w:rPr>
        <w:t xml:space="preserve">(лекційне – 1 година)</w:t>
      </w:r>
    </w:p>
    <w:p w:rsidR="00000000" w:rsidDel="00000000" w:rsidP="00000000" w:rsidRDefault="00000000" w:rsidRPr="00000000" w14:paraId="0000006D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лекційного заняття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Основні принципи універсального дизайну навчання.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Як реалізувати універсальний дизайн навчання?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Типи перешкод у навчанні та шляхи їх подолання. Скаффолдинг</w:t>
      </w:r>
    </w:p>
    <w:p w:rsidR="00000000" w:rsidDel="00000000" w:rsidP="00000000" w:rsidRDefault="00000000" w:rsidRPr="00000000" w14:paraId="00000072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Принципи побудови уроків з використанням універсального дизайну. </w:t>
      </w:r>
      <w:r w:rsidDel="00000000" w:rsidR="00000000" w:rsidRPr="00000000">
        <w:rPr>
          <w:i w:val="1"/>
          <w:rtl w:val="0"/>
        </w:rPr>
        <w:t xml:space="preserve">(практичне – 2 години)</w:t>
      </w:r>
    </w:p>
    <w:p w:rsidR="00000000" w:rsidDel="00000000" w:rsidP="00000000" w:rsidRDefault="00000000" w:rsidRPr="00000000" w14:paraId="00000074">
      <w:pPr>
        <w:tabs>
          <w:tab w:val="left" w:leader="none" w:pos="993"/>
        </w:tabs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Методичні рекомендації проведення уроку з використання УДН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Цифровий формат проведення різних етапів уроку з УДН</w:t>
      </w:r>
    </w:p>
    <w:p w:rsidR="00000000" w:rsidDel="00000000" w:rsidP="00000000" w:rsidRDefault="00000000" w:rsidRPr="00000000" w14:paraId="00000077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4. Навчальний поступ учнівства на рівні другого циклу базової середньої освіти в Державному стандарті, модельних і навчальних програмах.</w:t>
      </w:r>
    </w:p>
    <w:p w:rsidR="00000000" w:rsidDel="00000000" w:rsidP="00000000" w:rsidRDefault="00000000" w:rsidRPr="00000000" w14:paraId="00000078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4 години</w:t>
      </w:r>
    </w:p>
    <w:p w:rsidR="00000000" w:rsidDel="00000000" w:rsidP="00000000" w:rsidRDefault="00000000" w:rsidRPr="00000000" w14:paraId="00000079">
      <w:pPr>
        <w:tabs>
          <w:tab w:val="left" w:leader="none" w:pos="993"/>
        </w:tabs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993"/>
        </w:tabs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Навчально-методичне забезпечення викладання інформатики в 7 класі НУШ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93"/>
        </w:tabs>
        <w:ind w:left="360" w:firstLine="0"/>
        <w:jc w:val="both"/>
        <w:rPr/>
      </w:pP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практичне, 2 години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7C">
      <w:pPr>
        <w:ind w:left="360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Аналіз модельних навчальних програм для 7-9 класів НУШ.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Пропоновані авторами та видавництвами ресурси для досягнення очікуваних результатів навчання, прописаних в даних МНП.</w:t>
      </w:r>
    </w:p>
    <w:p w:rsidR="00000000" w:rsidDel="00000000" w:rsidP="00000000" w:rsidRDefault="00000000" w:rsidRPr="00000000" w14:paraId="0000007F">
      <w:pPr>
        <w:tabs>
          <w:tab w:val="left" w:leader="none" w:pos="993"/>
        </w:tabs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Перехід від модельної навчальної програми до навчальної програми та календарно-тематичного планування </w:t>
      </w:r>
      <w:r w:rsidDel="00000000" w:rsidR="00000000" w:rsidRPr="00000000">
        <w:rPr>
          <w:i w:val="1"/>
          <w:rtl w:val="0"/>
        </w:rPr>
        <w:t xml:space="preserve">(практичне, 2 година)</w:t>
      </w:r>
    </w:p>
    <w:p w:rsidR="00000000" w:rsidDel="00000000" w:rsidP="00000000" w:rsidRDefault="00000000" w:rsidRPr="00000000" w14:paraId="0000008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Перехід від модельної навчальної програми до навчальної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Створення навчальної програми на основі обов’язкових результатів ДСБСО</w:t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5. Інструменти досягнення результатів інформатичної галузі. Конструювання навчальної діяльності.</w:t>
      </w:r>
    </w:p>
    <w:p w:rsidR="00000000" w:rsidDel="00000000" w:rsidP="00000000" w:rsidRDefault="00000000" w:rsidRPr="00000000" w14:paraId="00000086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6 годин</w:t>
      </w:r>
    </w:p>
    <w:p w:rsidR="00000000" w:rsidDel="00000000" w:rsidP="00000000" w:rsidRDefault="00000000" w:rsidRPr="00000000" w14:paraId="00000087">
      <w:pPr>
        <w:tabs>
          <w:tab w:val="left" w:leader="none" w:pos="993"/>
        </w:tabs>
        <w:ind w:left="284" w:firstLine="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 Конкретні інструменти досягнення результатів інформативної галузі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(практичне, 2 година)</w:t>
      </w:r>
    </w:p>
    <w:p w:rsidR="00000000" w:rsidDel="00000000" w:rsidP="00000000" w:rsidRDefault="00000000" w:rsidRPr="00000000" w14:paraId="00000088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Модельна навчальна програма та навчальні матеріали як конкретні інструменти досягнення результатів інформативної галузі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Обчислювальне мислення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Оновлена інформатика – ІТ-студії. Формування навчальної траєкторії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Всеукраїнська школа Online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Code.Org Дослідження інформатики</w:t>
      </w:r>
    </w:p>
    <w:p w:rsidR="00000000" w:rsidDel="00000000" w:rsidP="00000000" w:rsidRDefault="00000000" w:rsidRPr="00000000" w14:paraId="0000008E">
      <w:pPr>
        <w:ind w:left="284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Тема 2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Універсальний дизайн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на уроках інформатики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i w:val="1"/>
          <w:rtl w:val="0"/>
        </w:rPr>
        <w:t xml:space="preserve">практичне, 2 години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8F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Універсальний дизайн планування уроку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Обговорення та доповнення документа «Універсальний дизайн на уроках інформатики»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60" w:before="0" w:line="240" w:lineRule="auto"/>
        <w:ind w:left="644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Методичні рекомендації застосування універсального дизайну на уроках інформатики</w:t>
      </w:r>
    </w:p>
    <w:p w:rsidR="00000000" w:rsidDel="00000000" w:rsidP="00000000" w:rsidRDefault="00000000" w:rsidRPr="00000000" w14:paraId="00000094">
      <w:pPr>
        <w:tabs>
          <w:tab w:val="left" w:leader="none" w:pos="993"/>
        </w:tabs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284" w:firstLine="0"/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Тема 3 . Штучний інтелект в освіті (</w:t>
      </w:r>
      <w:r w:rsidDel="00000000" w:rsidR="00000000" w:rsidRPr="00000000">
        <w:rPr>
          <w:i w:val="1"/>
          <w:rtl w:val="0"/>
        </w:rPr>
        <w:t xml:space="preserve">практичне, 2 години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96">
      <w:pPr>
        <w:ind w:left="284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98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Штучний інтелект  - об’єкт вивчення на уроках інформатики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Штучний інтелект як засіб створення навчального контенту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6. Вимірювання результатів інформатичної галузі. Види оцінювання: рекомендації для вчителів</w:t>
      </w:r>
    </w:p>
    <w:p w:rsidR="00000000" w:rsidDel="00000000" w:rsidP="00000000" w:rsidRDefault="00000000" w:rsidRPr="00000000" w14:paraId="0000009C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навчальною програмою – 6 годин</w:t>
      </w:r>
    </w:p>
    <w:p w:rsidR="00000000" w:rsidDel="00000000" w:rsidP="00000000" w:rsidRDefault="00000000" w:rsidRPr="00000000" w14:paraId="0000009D">
      <w:pPr>
        <w:tabs>
          <w:tab w:val="left" w:leader="none" w:pos="993"/>
        </w:tabs>
        <w:ind w:left="284" w:firstLine="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 Види оцінювання результатів навчання учнів, що проводяться закладом освіти </w:t>
      </w:r>
      <w:r w:rsidDel="00000000" w:rsidR="00000000" w:rsidRPr="00000000">
        <w:rPr>
          <w:i w:val="1"/>
          <w:rtl w:val="0"/>
        </w:rPr>
        <w:t xml:space="preserve">(практична, 2 години)</w:t>
      </w:r>
    </w:p>
    <w:p w:rsidR="00000000" w:rsidDel="00000000" w:rsidP="00000000" w:rsidRDefault="00000000" w:rsidRPr="00000000" w14:paraId="0000009E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Види оцінювання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оцінювання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Алгоритм оцінювання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Виведення оцінок за групами результатів</w:t>
      </w:r>
    </w:p>
    <w:p w:rsidR="00000000" w:rsidDel="00000000" w:rsidP="00000000" w:rsidRDefault="00000000" w:rsidRPr="00000000" w14:paraId="000000A3">
      <w:pPr>
        <w:tabs>
          <w:tab w:val="left" w:leader="none" w:pos="993"/>
        </w:tabs>
        <w:ind w:left="284" w:firstLine="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 Укладання підсумкових робіт </w:t>
      </w:r>
      <w:r w:rsidDel="00000000" w:rsidR="00000000" w:rsidRPr="00000000">
        <w:rPr>
          <w:i w:val="1"/>
          <w:rtl w:val="0"/>
        </w:rPr>
        <w:t xml:space="preserve">(практична, 4 години)</w:t>
      </w:r>
    </w:p>
    <w:p w:rsidR="00000000" w:rsidDel="00000000" w:rsidP="00000000" w:rsidRDefault="00000000" w:rsidRPr="00000000" w14:paraId="000000A4">
      <w:pPr>
        <w:tabs>
          <w:tab w:val="left" w:leader="none" w:pos="993"/>
        </w:tabs>
        <w:ind w:left="644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left="644" w:firstLine="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Принципи укладання підсумкових робіт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Приклади укладання підсумкових робіт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Укладання підсумкових робіт</w:t>
      </w:r>
    </w:p>
    <w:p w:rsidR="00000000" w:rsidDel="00000000" w:rsidP="00000000" w:rsidRDefault="00000000" w:rsidRPr="00000000" w14:paraId="000000A9">
      <w:pPr>
        <w:spacing w:after="120" w:before="12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Модуль 7. Методичні підходи до викладання інформатики в НУШ</w:t>
      </w:r>
    </w:p>
    <w:p w:rsidR="00000000" w:rsidDel="00000000" w:rsidP="00000000" w:rsidRDefault="00000000" w:rsidRPr="00000000" w14:paraId="000000AA">
      <w:pPr>
        <w:spacing w:before="120" w:lineRule="auto"/>
        <w:ind w:firstLine="709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Час за робочою програмою – 6 годин</w:t>
      </w:r>
    </w:p>
    <w:p w:rsidR="00000000" w:rsidDel="00000000" w:rsidP="00000000" w:rsidRDefault="00000000" w:rsidRPr="00000000" w14:paraId="000000AB">
      <w:pPr>
        <w:tabs>
          <w:tab w:val="left" w:leader="none" w:pos="993"/>
        </w:tabs>
        <w:ind w:left="284" w:firstLine="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1.  Використання актуальних для НУШ методів викладання інформатики</w:t>
      </w:r>
    </w:p>
    <w:p w:rsidR="00000000" w:rsidDel="00000000" w:rsidP="00000000" w:rsidRDefault="00000000" w:rsidRPr="00000000" w14:paraId="000000AC">
      <w:pPr>
        <w:tabs>
          <w:tab w:val="left" w:leader="none" w:pos="993"/>
        </w:tabs>
        <w:ind w:left="284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(практична, 2 години)</w:t>
      </w:r>
    </w:p>
    <w:p w:rsidR="00000000" w:rsidDel="00000000" w:rsidP="00000000" w:rsidRDefault="00000000" w:rsidRPr="00000000" w14:paraId="000000AD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Проблемне навчання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Проектна діяльність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Ігрові методи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 кейсів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Онлайн-платформи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Моделювання</w:t>
      </w:r>
    </w:p>
    <w:p w:rsidR="00000000" w:rsidDel="00000000" w:rsidP="00000000" w:rsidRDefault="00000000" w:rsidRPr="00000000" w14:paraId="000000B4">
      <w:pPr>
        <w:tabs>
          <w:tab w:val="left" w:leader="none" w:pos="993"/>
        </w:tabs>
        <w:ind w:left="284" w:firstLine="0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Тема 2.  Методика викладання окремих тем з інформатики в 7 класі </w:t>
      </w:r>
      <w:r w:rsidDel="00000000" w:rsidR="00000000" w:rsidRPr="00000000">
        <w:rPr>
          <w:i w:val="1"/>
          <w:rtl w:val="0"/>
        </w:rPr>
        <w:t xml:space="preserve">(практична – 4 години)</w:t>
      </w:r>
    </w:p>
    <w:p w:rsidR="00000000" w:rsidDel="00000000" w:rsidP="00000000" w:rsidRDefault="00000000" w:rsidRPr="00000000" w14:paraId="000000B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План практичного заняття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Навчально-методичне забезпечення для викладання теми «Візуальний контент» в 7 класі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Методичні підходи до викладання теми «Цифрова безпека»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04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Методичні підходи до викладання теми «Моделювання в електронних таблицях»</w:t>
      </w:r>
    </w:p>
    <w:p w:rsidR="00000000" w:rsidDel="00000000" w:rsidP="00000000" w:rsidRDefault="00000000" w:rsidRPr="00000000" w14:paraId="000000B9">
      <w:pPr>
        <w:tabs>
          <w:tab w:val="left" w:leader="none" w:pos="993"/>
        </w:tabs>
        <w:ind w:left="284" w:firstLine="0"/>
        <w:jc w:val="both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60" w:line="259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ІІІ. РОЗПОДІЛ ГОДИН ЗА ВИДАМИ ДІЯЛЬНОСТІ</w:t>
      </w:r>
    </w:p>
    <w:tbl>
      <w:tblPr>
        <w:tblStyle w:val="Table1"/>
        <w:tblW w:w="9675.0" w:type="dxa"/>
        <w:jc w:val="left"/>
        <w:tblInd w:w="-2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10"/>
        <w:gridCol w:w="1134"/>
        <w:gridCol w:w="1275"/>
        <w:gridCol w:w="956"/>
        <w:tblGridChange w:id="0">
          <w:tblGrid>
            <w:gridCol w:w="6310"/>
            <w:gridCol w:w="1134"/>
            <w:gridCol w:w="1275"/>
            <w:gridCol w:w="956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C">
            <w:pPr>
              <w:spacing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Назви тем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D">
            <w:pPr>
              <w:spacing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Кількість годин</w:t>
            </w:r>
          </w:p>
        </w:tc>
      </w:tr>
      <w:tr>
        <w:trPr>
          <w:cantSplit w:val="1"/>
          <w:trHeight w:val="38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Лекція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Практ. заняття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76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Разом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Інтеграційно-мотиваційне заняття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left" w:leader="none" w:pos="993"/>
              </w:tabs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Тема 1. Реєстрація учасників. Ознайомлення з програмою модуля. Формування очікувань учасників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C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1. Освітні втрати та шляхи їх подолання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1"/>
          <w:trHeight w:val="36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Освітні втрати. Основні причини їх виникнення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Шляхи подолання освітніх втрат в інформатиці. Роль інформаційних технологій у подолання освітніх втрат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2. Психологічні особливості учнівства 7-9 класів. Особливості мотивації підлітків.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</w:tr>
      <w:tr>
        <w:trPr>
          <w:cantSplit w:val="1"/>
          <w:trHeight w:val="2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Психологічні особливості учнівства 7-9 класів. Емоційний інтелект.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Особливості мотивації учнівства 7-9 класів</w:t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3. Універсальний дизайн навчання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Поняття універсального дизайну навчання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Принципи побудови уроків з використанням універсального дизайну.</w:t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4. Навчальний поступ учнівства на рівні другого циклу базової середньої освіти в Державному стандарті, модельних і навчальних програмах.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Навчально-методичне забезпечення викладання інформатики в 7 класі НУШ 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Перехід від модельної навчальної програми до навчальної програми та календарно-тематичного планування</w:t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5. Інструменти досягнення результатів інформатичної галузі. Конструювання навчальної діяльності.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 Конкретні інструменти досягнення результатів інформативної галузі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Універсальний дизайн на уроках інформатики</w:t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3 . Штучний інтелект в освіті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6. Вимірювання результатів інформатичної галузі. Види оцінювання: рекомендації для вчителів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 Види оцінювання результатів навчання учнів, що проводяться закладом освіти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 Укладання підсумкових робіт</w:t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7. Методичні підходи до викладання інформатики в НУШ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1.  Використання актуальних для НУШ методів викладання інформатики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Тема 2. Методика викладання окремих тем з інформатики в 7 класі</w:t>
            </w:r>
          </w:p>
        </w:tc>
        <w:tc>
          <w:tcPr/>
          <w:p w:rsidR="00000000" w:rsidDel="00000000" w:rsidP="00000000" w:rsidRDefault="00000000" w:rsidRPr="00000000" w14:paraId="00000121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tabs>
                <w:tab w:val="left" w:leader="none" w:pos="993"/>
              </w:tabs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tabs>
                <w:tab w:val="left" w:leader="none" w:pos="993"/>
              </w:tabs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Всього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128">
      <w:pPr>
        <w:tabs>
          <w:tab w:val="left" w:leader="none" w:pos="993"/>
        </w:tabs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709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724" w:hanging="360"/>
      </w:pPr>
      <w:rPr/>
    </w:lvl>
    <w:lvl w:ilvl="2">
      <w:start w:val="1"/>
      <w:numFmt w:val="lowerRoman"/>
      <w:lvlText w:val="%3."/>
      <w:lvlJc w:val="right"/>
      <w:pPr>
        <w:ind w:left="2444" w:hanging="180"/>
      </w:pPr>
      <w:rPr/>
    </w:lvl>
    <w:lvl w:ilvl="3">
      <w:start w:val="1"/>
      <w:numFmt w:val="decimal"/>
      <w:lvlText w:val="%4."/>
      <w:lvlJc w:val="left"/>
      <w:pPr>
        <w:ind w:left="3164" w:hanging="360"/>
      </w:pPr>
      <w:rPr/>
    </w:lvl>
    <w:lvl w:ilvl="4">
      <w:start w:val="1"/>
      <w:numFmt w:val="lowerLetter"/>
      <w:lvlText w:val="%5."/>
      <w:lvlJc w:val="left"/>
      <w:pPr>
        <w:ind w:left="3884" w:hanging="360"/>
      </w:pPr>
      <w:rPr/>
    </w:lvl>
    <w:lvl w:ilvl="5">
      <w:start w:val="1"/>
      <w:numFmt w:val="lowerRoman"/>
      <w:lvlText w:val="%6."/>
      <w:lvlJc w:val="right"/>
      <w:pPr>
        <w:ind w:left="4604" w:hanging="180"/>
      </w:pPr>
      <w:rPr/>
    </w:lvl>
    <w:lvl w:ilvl="6">
      <w:start w:val="1"/>
      <w:numFmt w:val="decimal"/>
      <w:lvlText w:val="%7."/>
      <w:lvlJc w:val="left"/>
      <w:pPr>
        <w:ind w:left="5324" w:hanging="360"/>
      </w:pPr>
      <w:rPr/>
    </w:lvl>
    <w:lvl w:ilvl="7">
      <w:start w:val="1"/>
      <w:numFmt w:val="lowerLetter"/>
      <w:lvlText w:val="%8."/>
      <w:lvlJc w:val="left"/>
      <w:pPr>
        <w:ind w:left="6044" w:hanging="360"/>
      </w:pPr>
      <w:rPr/>
    </w:lvl>
    <w:lvl w:ilvl="8">
      <w:start w:val="1"/>
      <w:numFmt w:val="lowerRoman"/>
      <w:lvlText w:val="%9."/>
      <w:lvlJc w:val="right"/>
      <w:pPr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0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644" w:hanging="359.99999999999994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1004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644" w:hanging="359.99999999999994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B009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6B009E"/>
    <w:pPr>
      <w:spacing w:after="160"/>
      <w:ind w:left="720"/>
      <w:contextualSpacing w:val="1"/>
    </w:pPr>
    <w:rPr>
      <w:rFonts w:cstheme="minorBidi" w:eastAsiaTheme="minorHAnsi"/>
      <w:sz w:val="28"/>
      <w:szCs w:val="22"/>
      <w:lang w:eastAsia="en-US" w:val="ru-RU"/>
    </w:rPr>
  </w:style>
  <w:style w:type="paragraph" w:styleId="a4">
    <w:name w:val="header"/>
    <w:basedOn w:val="a"/>
    <w:link w:val="a5"/>
    <w:uiPriority w:val="99"/>
    <w:unhideWhenUsed w:val="1"/>
    <w:rsid w:val="0026234A"/>
    <w:pPr>
      <w:tabs>
        <w:tab w:val="center" w:pos="4677"/>
        <w:tab w:val="right" w:pos="9355"/>
      </w:tabs>
    </w:pPr>
  </w:style>
  <w:style w:type="character" w:styleId="a5" w:customStyle="1">
    <w:name w:val="Верхній колонтитул Знак"/>
    <w:basedOn w:val="a0"/>
    <w:link w:val="a4"/>
    <w:uiPriority w:val="99"/>
    <w:rsid w:val="0026234A"/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6">
    <w:name w:val="footer"/>
    <w:basedOn w:val="a"/>
    <w:link w:val="a7"/>
    <w:uiPriority w:val="99"/>
    <w:unhideWhenUsed w:val="1"/>
    <w:rsid w:val="0026234A"/>
    <w:pPr>
      <w:tabs>
        <w:tab w:val="center" w:pos="4677"/>
        <w:tab w:val="right" w:pos="9355"/>
      </w:tabs>
    </w:pPr>
  </w:style>
  <w:style w:type="character" w:styleId="a7" w:customStyle="1">
    <w:name w:val="Нижній колонтитул Знак"/>
    <w:basedOn w:val="a0"/>
    <w:link w:val="a6"/>
    <w:uiPriority w:val="99"/>
    <w:rsid w:val="0026234A"/>
    <w:rPr>
      <w:rFonts w:ascii="Times New Roman" w:cs="Times New Roman" w:eastAsia="Times New Roman" w:hAnsi="Times New Roman"/>
      <w:sz w:val="24"/>
      <w:szCs w:val="24"/>
      <w:lang w:eastAsia="uk-UA" w:val="uk-UA"/>
    </w:rPr>
  </w:style>
  <w:style w:type="paragraph" w:styleId="a8">
    <w:name w:val="Normal (Web)"/>
    <w:basedOn w:val="a"/>
    <w:uiPriority w:val="99"/>
    <w:unhideWhenUsed w:val="1"/>
    <w:rsid w:val="00FA28BC"/>
    <w:pPr>
      <w:spacing w:after="100" w:afterAutospacing="1" w:before="100" w:beforeAutospacing="1"/>
    </w:pPr>
    <w:rPr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SzEuKQ/rvQIBNGAOXCtWhqPwBw==">CgMxLjAyCGguZ2pkZ3hzMgppZC4zMGowemxsMgppZC4xZm9iOXRlOAByITFpNzhQV0hlaTFnQTF3U2NXdW42SkRqaGRVOE01VjcyMA==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2024-10-03T16:26:00Z</dcterms:created>
  <dc:creator>Iryna Kostyuk</dc:creator>
</cp:coreProperties>
</file>