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Рішення науково-методичної ради</w:t>
      </w:r>
      <w:r w:rsidDel="00000000" w:rsidR="00000000" w:rsidRPr="00000000">
        <w:rPr>
          <w:rtl w:val="0"/>
        </w:rPr>
      </w:r>
    </w:p>
    <w:p w:rsidR="00000000" w:rsidDel="00000000" w:rsidP="00000000" w:rsidRDefault="00000000" w:rsidRPr="00000000" w14:paraId="00000002">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Комунального закладу Львівської обласної ради</w:t>
      </w:r>
      <w:r w:rsidDel="00000000" w:rsidR="00000000" w:rsidRPr="00000000">
        <w:rPr>
          <w:rtl w:val="0"/>
        </w:rPr>
      </w:r>
    </w:p>
    <w:p w:rsidR="00000000" w:rsidDel="00000000" w:rsidP="00000000" w:rsidRDefault="00000000" w:rsidRPr="00000000" w14:paraId="00000003">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«Львівський обласний інститут післядипломної педагогічної освіти»</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26 вересня 2024 р.                                                            </w:t>
        <w:tab/>
        <w:t xml:space="preserve">Протокол № 5-2</w:t>
      </w:r>
      <w:r w:rsidDel="00000000" w:rsidR="00000000" w:rsidRPr="00000000">
        <w:rPr>
          <w:rtl w:val="0"/>
        </w:rPr>
      </w:r>
    </w:p>
    <w:p w:rsidR="00000000" w:rsidDel="00000000" w:rsidP="00000000" w:rsidRDefault="00000000" w:rsidRPr="00000000" w14:paraId="0000000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142" w:hanging="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Присутні члени ради: Павло ХОБЗЕЙ, Микола КАЦЮБА, Марта ЗНАК,  Наталія ПАСТУШЕНКО, Олена ЦОГЛА. Сергій ПАЗЮК, Галина ВАРХОЛИК, Юрій ГАРМАТІЙ, Ірина СУХОВЕРСЬКА, Леся ГРИЗА, Ліліана КУДРИК, Ірина СИНЯ, Ігор ТАНЧИН, Тетяна ДОЛЖИКОВА, Євгенія СЛИВКА, Наталія БАМБУРАК, Наталія ТОДЧУК</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hanging="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 схвалення освітніх програм підвищення </w:t>
      </w:r>
    </w:p>
    <w:p w:rsidR="00000000" w:rsidDel="00000000" w:rsidP="00000000" w:rsidRDefault="00000000" w:rsidRPr="00000000" w14:paraId="0000000A">
      <w:pPr>
        <w:spacing w:line="240" w:lineRule="auto"/>
        <w:ind w:hanging="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кваліфікації педагогічних працівників </w:t>
      </w:r>
    </w:p>
    <w:p w:rsidR="00000000" w:rsidDel="00000000" w:rsidP="00000000" w:rsidRDefault="00000000" w:rsidRPr="00000000" w14:paraId="0000000B">
      <w:pPr>
        <w:spacing w:line="240" w:lineRule="auto"/>
        <w:ind w:hanging="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тривалістю 4 год. та 16 год.</w:t>
      </w:r>
    </w:p>
    <w:p w:rsidR="00000000" w:rsidDel="00000000" w:rsidP="00000000" w:rsidRDefault="00000000" w:rsidRPr="00000000" w14:paraId="0000000C">
      <w:pPr>
        <w:spacing w:line="240" w:lineRule="auto"/>
        <w:ind w:hanging="14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Заслухавши та обговоривши інформацію Ігоря ТАНЧИНА, заступника директора з науково-педагогічної роботи про зміст освітніх програм підвищення кваліфікації педагогічних працівників тривалістю 4год. та 16 год., науково-методична рада</w:t>
      </w:r>
    </w:p>
    <w:p w:rsidR="00000000" w:rsidDel="00000000" w:rsidP="00000000" w:rsidRDefault="00000000" w:rsidRPr="00000000" w14:paraId="0000000E">
      <w:pPr>
        <w:spacing w:line="240" w:lineRule="auto"/>
        <w:ind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F">
      <w:pPr>
        <w:spacing w:line="240" w:lineRule="auto"/>
        <w:ind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0">
      <w:pPr>
        <w:spacing w:line="240" w:lineRule="auto"/>
        <w:ind w:hanging="10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схвалює:</w:t>
      </w:r>
    </w:p>
    <w:p w:rsidR="00000000" w:rsidDel="00000000" w:rsidP="00000000" w:rsidRDefault="00000000" w:rsidRPr="00000000" w14:paraId="00000011">
      <w:pPr>
        <w:spacing w:line="240" w:lineRule="auto"/>
        <w:ind w:hanging="108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line="240" w:lineRule="auto"/>
        <w:ind w:hanging="14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освітні програми підвищення кваліфікації педагогічних працівників подані у додатку 2</w:t>
      </w:r>
    </w:p>
    <w:p w:rsidR="00000000" w:rsidDel="00000000" w:rsidP="00000000" w:rsidRDefault="00000000" w:rsidRPr="00000000" w14:paraId="00000013">
      <w:pPr>
        <w:spacing w:line="240" w:lineRule="auto"/>
        <w:ind w:hanging="10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ind w:hanging="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6">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Рішення прийнято:</w:t>
      </w:r>
      <w:r w:rsidDel="00000000" w:rsidR="00000000" w:rsidRPr="00000000">
        <w:rPr>
          <w:rtl w:val="0"/>
        </w:rPr>
      </w:r>
    </w:p>
    <w:p w:rsidR="00000000" w:rsidDel="00000000" w:rsidP="00000000" w:rsidRDefault="00000000" w:rsidRPr="00000000" w14:paraId="00000017">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«за»___17______</w:t>
      </w:r>
      <w:r w:rsidDel="00000000" w:rsidR="00000000" w:rsidRPr="00000000">
        <w:rPr>
          <w:rtl w:val="0"/>
        </w:rPr>
      </w:r>
    </w:p>
    <w:p w:rsidR="00000000" w:rsidDel="00000000" w:rsidP="00000000" w:rsidRDefault="00000000" w:rsidRPr="00000000" w14:paraId="00000018">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«проти»_____0____</w:t>
      </w:r>
      <w:r w:rsidDel="00000000" w:rsidR="00000000" w:rsidRPr="00000000">
        <w:rPr>
          <w:rtl w:val="0"/>
        </w:rPr>
      </w:r>
    </w:p>
    <w:p w:rsidR="00000000" w:rsidDel="00000000" w:rsidP="00000000" w:rsidRDefault="00000000" w:rsidRPr="00000000" w14:paraId="00000019">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«утримались»__0_____</w:t>
      </w:r>
      <w:r w:rsidDel="00000000" w:rsidR="00000000" w:rsidRPr="00000000">
        <w:rPr>
          <w:rtl w:val="0"/>
        </w:rPr>
      </w:r>
    </w:p>
    <w:p w:rsidR="00000000" w:rsidDel="00000000" w:rsidP="00000000" w:rsidRDefault="00000000" w:rsidRPr="00000000" w14:paraId="0000001A">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Голова ради                                      Павло ХОБЗЕЙ</w:t>
      </w: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0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spacing w:after="20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w:t>
        <w:tab/>
        <w:tab/>
        <w:tab/>
        <w:tab/>
        <w:t xml:space="preserve"> Марта ЗНАК</w:t>
      </w:r>
    </w:p>
    <w:p w:rsidR="00000000" w:rsidDel="00000000" w:rsidP="00000000" w:rsidRDefault="00000000" w:rsidRPr="00000000" w14:paraId="00000021">
      <w:pPr>
        <w:spacing w:after="20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Додаток 2</w:t>
      </w:r>
      <w:r w:rsidDel="00000000" w:rsidR="00000000" w:rsidRPr="00000000">
        <w:rPr>
          <w:rtl w:val="0"/>
        </w:rPr>
      </w:r>
    </w:p>
    <w:p w:rsidR="00000000" w:rsidDel="00000000" w:rsidP="00000000" w:rsidRDefault="00000000" w:rsidRPr="00000000" w14:paraId="0000002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Про затвердження освітніх програм підвищення кваліфікації педагогічних працівників</w:t>
      </w:r>
      <w:r w:rsidDel="00000000" w:rsidR="00000000" w:rsidRPr="00000000">
        <w:rPr>
          <w:rtl w:val="0"/>
        </w:rPr>
      </w:r>
    </w:p>
    <w:p w:rsidR="00000000" w:rsidDel="00000000" w:rsidP="00000000" w:rsidRDefault="00000000" w:rsidRPr="00000000" w14:paraId="0000002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(тривалістю 4 год. та 16 год.)</w:t>
      </w:r>
    </w:p>
    <w:p w:rsidR="00000000" w:rsidDel="00000000" w:rsidP="00000000" w:rsidRDefault="00000000" w:rsidRPr="00000000" w14:paraId="00000025">
      <w:pPr>
        <w:spacing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1"/>
        <w:tblW w:w="10200.0" w:type="dxa"/>
        <w:jc w:val="left"/>
        <w:tblInd w:w="-280.0" w:type="dxa"/>
        <w:tblLayout w:type="fixed"/>
        <w:tblLook w:val="0400"/>
      </w:tblPr>
      <w:tblGrid>
        <w:gridCol w:w="675"/>
        <w:gridCol w:w="3975"/>
        <w:gridCol w:w="2610"/>
        <w:gridCol w:w="2175"/>
        <w:gridCol w:w="765"/>
        <w:tblGridChange w:id="0">
          <w:tblGrid>
            <w:gridCol w:w="675"/>
            <w:gridCol w:w="3975"/>
            <w:gridCol w:w="2610"/>
            <w:gridCol w:w="2175"/>
            <w:gridCol w:w="7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27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Назва програми підвищення кваліфікації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7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Розробник програми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7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Кафедра, що подала програму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7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Код</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вчителів музичного мистецтва «</w:t>
            </w:r>
            <w:r w:rsidDel="00000000" w:rsidR="00000000" w:rsidRPr="00000000">
              <w:rPr>
                <w:rFonts w:ascii="Times New Roman" w:cs="Times New Roman" w:eastAsia="Times New Roman" w:hAnsi="Times New Roman"/>
                <w:color w:val="222222"/>
                <w:sz w:val="24"/>
                <w:szCs w:val="24"/>
                <w:highlight w:val="white"/>
                <w:rtl w:val="0"/>
              </w:rPr>
              <w:t xml:space="preserve">Реалізація Державного стандарту базової середньої освіти у другому циклі основної школи. Мистецтво: музичне мистецтво</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Олександра ГУРИН</w:t>
            </w:r>
          </w:p>
          <w:p w:rsidR="00000000" w:rsidDel="00000000" w:rsidP="00000000" w:rsidRDefault="00000000" w:rsidRPr="00000000" w14:paraId="0000002E">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Кафедра гуманітарної освіти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вчителів української мови та літератури «Реалізація Державного стандарту базової середньої освіти в другому циклі базової середньої освіти. Українська мова та література»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Анна-Марія БОГОСВЯТСЬКА,</w:t>
            </w:r>
          </w:p>
          <w:p w:rsidR="00000000" w:rsidDel="00000000" w:rsidP="00000000" w:rsidRDefault="00000000" w:rsidRPr="00000000" w14:paraId="0000003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Оксана ДІЛЬНА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гуманітарної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вчителів образотворчого мистецтва «Реалізація Державного стандарту базової середньої освіти у другому циклі основної школи. Мистецтво:</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образотворче мистецтво»</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Людмила ОЛЬШАНСЬКА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гуманітарної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widowControl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учителів іноземної мови «Професійне зростання учителя у групі професійної майстерності»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Христина ЛЕВИЦЬКА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гуманітарної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2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керівників ЗЗСО та їх заступників «Реалізація Державного стандарту базової  освіти у другому (предметному) циклі базової середньої освіти: роль управлінців»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Христина ЧУШАК,</w:t>
            </w:r>
          </w:p>
          <w:p w:rsidR="00000000" w:rsidDel="00000000" w:rsidP="00000000" w:rsidRDefault="00000000" w:rsidRPr="00000000" w14:paraId="0000004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Павло ХОБЗЕЙ,</w:t>
            </w:r>
          </w:p>
          <w:p w:rsidR="00000000" w:rsidDel="00000000" w:rsidP="00000000" w:rsidRDefault="00000000" w:rsidRPr="00000000" w14:paraId="0000004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Сергій ПАЗЮК,</w:t>
            </w:r>
          </w:p>
          <w:p w:rsidR="00000000" w:rsidDel="00000000" w:rsidP="00000000" w:rsidRDefault="00000000" w:rsidRPr="00000000" w14:paraId="0000004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Марія БАРНА,</w:t>
            </w:r>
          </w:p>
          <w:p w:rsidR="00000000" w:rsidDel="00000000" w:rsidP="00000000" w:rsidRDefault="00000000" w:rsidRPr="00000000" w14:paraId="0000004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БАЙОВСЬКА,</w:t>
            </w:r>
          </w:p>
          <w:p w:rsidR="00000000" w:rsidDel="00000000" w:rsidP="00000000" w:rsidRDefault="00000000" w:rsidRPr="00000000" w14:paraId="0000004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Євгенія СЛИВКА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освітньої політики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підготовки вчителів фізичної культури ЗЗСО «Реалізація ДСБСО в другому циклі базової середньої освіти. Фізична культура».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Наталія СОРОКОЛІТ,</w:t>
            </w:r>
          </w:p>
          <w:p w:rsidR="00000000" w:rsidDel="00000000" w:rsidP="00000000" w:rsidRDefault="00000000" w:rsidRPr="00000000" w14:paraId="0000005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Євгенія СЛИВКА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освітньої політики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sz w:val="24"/>
                <w:szCs w:val="24"/>
                <w:rtl w:val="0"/>
              </w:rPr>
              <w:t xml:space="preserve">Освітня програма підвищення кваліфікації  учителів технологічної освітньої галузі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Cambria" w:cs="Cambria" w:eastAsia="Cambria" w:hAnsi="Cambria"/>
                <w:sz w:val="24"/>
                <w:szCs w:val="24"/>
                <w:rtl w:val="0"/>
              </w:rPr>
              <w:t xml:space="preserve">Реалізація Державного стандарту базової середньої освіти в другому циклі базової середньої освіти. Технологічна галузь 7клас</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Зоряна САФ’ЯНЮК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освітньої політики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40" w:lineRule="auto"/>
              <w:rPr>
                <w:rFonts w:ascii="Cambria" w:cs="Cambria" w:eastAsia="Cambria" w:hAnsi="Cambria"/>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учителів основ здоров'я для роботи за новим державним стандартом базової середньої освіти:  Викладання інтегрованого курсу  «Здоров'я, безпека та добробут» в Новій  українській школі  у  7-х класах»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Олена ШИЯН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освітньої політики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276" w:lineRule="auto"/>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Освітня програма підготовки (підвищення кваліфікації) надавачів послуг зі здійснення супервізії у сфері загальної середньої освіти. «Регіональна  супервізія»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Марія БАРНА,</w:t>
            </w:r>
          </w:p>
          <w:p w:rsidR="00000000" w:rsidDel="00000000" w:rsidP="00000000" w:rsidRDefault="00000000" w:rsidRPr="00000000" w14:paraId="0000006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Оксана ДІЛЬНА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освітньої політики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вчителів 5-9 класів НУШ – учасників супервізії  «Індивідуальна  траєкторія  професійного зростання»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Марія БАРНА,</w:t>
            </w:r>
          </w:p>
          <w:p w:rsidR="00000000" w:rsidDel="00000000" w:rsidP="00000000" w:rsidRDefault="00000000" w:rsidRPr="00000000" w14:paraId="0000006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Оксана ДІЛЬНА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освітньої політики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регіональних координаторів-тренерів</w:t>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професійних спільнот «Нова українська школа: реалізація ДБСО в другому циклі базової середньої</w:t>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Христина ЧУШАК,</w:t>
            </w:r>
          </w:p>
          <w:p w:rsidR="00000000" w:rsidDel="00000000" w:rsidP="00000000" w:rsidRDefault="00000000" w:rsidRPr="00000000" w14:paraId="0000006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Ірина КОСТЮК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освітньої політики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вчителів інформатики</w:t>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«Реалізація Державного стандарту базової середньої освіти в другому циклі базової</w:t>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освіти. Інформатика»</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Лілія ПАЛЮШОК,</w:t>
            </w:r>
          </w:p>
          <w:p w:rsidR="00000000" w:rsidDel="00000000" w:rsidP="00000000" w:rsidRDefault="00000000" w:rsidRPr="00000000" w14:paraId="0000007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Надія МАНЬКО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педагогіки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тренерів-педагогів учителів біології «Реалізація Державного стандарту базової середньої освіти в другому циклі базової середньої освіти. Біологія»</w:t>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Марія ЛАЗОРКО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природничо-математичної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тренерів-педагогів математики  «Реалізація Державного стандарту базової середньої освіти в другому циклі базової середньої освіти. Математична освітня галузь»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Інна БЄЛІНСЬКА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природничо-математичної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вчителів географії «</w:t>
            </w:r>
            <w:r w:rsidDel="00000000" w:rsidR="00000000" w:rsidRPr="00000000">
              <w:rPr>
                <w:rFonts w:ascii="Times New Roman" w:cs="Times New Roman" w:eastAsia="Times New Roman" w:hAnsi="Times New Roman"/>
                <w:color w:val="222222"/>
                <w:sz w:val="24"/>
                <w:szCs w:val="24"/>
                <w:rtl w:val="0"/>
              </w:rPr>
              <w:t xml:space="preserve">Реалізація Державного стандарту базової середньої освіти в другому циклі базової середньої освіти.</w:t>
            </w:r>
            <w:r w:rsidDel="00000000" w:rsidR="00000000" w:rsidRPr="00000000">
              <w:rPr>
                <w:rFonts w:ascii="Times New Roman" w:cs="Times New Roman" w:eastAsia="Times New Roman" w:hAnsi="Times New Roman"/>
                <w:sz w:val="24"/>
                <w:szCs w:val="24"/>
                <w:rtl w:val="0"/>
              </w:rPr>
              <w:t xml:space="preserve">  Географія»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Мирослав ЗІНКЕВИЧ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природничо-математичної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тренерів-педагогів фізики та астрономії  «</w:t>
            </w:r>
            <w:r w:rsidDel="00000000" w:rsidR="00000000" w:rsidRPr="00000000">
              <w:rPr>
                <w:rFonts w:ascii="Times New Roman" w:cs="Times New Roman" w:eastAsia="Times New Roman" w:hAnsi="Times New Roman"/>
                <w:color w:val="222222"/>
                <w:sz w:val="24"/>
                <w:szCs w:val="24"/>
                <w:highlight w:val="white"/>
                <w:rtl w:val="0"/>
              </w:rPr>
              <w:t xml:space="preserve">Реалізація Державного стандарту базової середньої освіти в другому циклі базової середньої освіти. </w:t>
            </w:r>
            <w:r w:rsidDel="00000000" w:rsidR="00000000" w:rsidRPr="00000000">
              <w:rPr>
                <w:rFonts w:ascii="Times New Roman" w:cs="Times New Roman" w:eastAsia="Times New Roman" w:hAnsi="Times New Roman"/>
                <w:sz w:val="24"/>
                <w:szCs w:val="24"/>
                <w:rtl w:val="0"/>
              </w:rPr>
              <w:t xml:space="preserve">Фізика»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Зоряна МАКСИМОВИЧ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природничо-математичної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тренерів-педагогів хімії «Реалізація Державного стандарту базової середньої освіти в другому циклі базової середньої освіти. Хімія»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Ольга ТУРИЦЯ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природничо-математичної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педагогів-тренерів освітньої галузі громадянська та історична освіта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Нова українська школа: реалізація ДСБО в другому циклі базової середньої освіти. Громадянська та історична освіта</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Ірина КОСТЮК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суспільствознавчої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учителів Захисту</w:t>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України для роботи за новим Державним стандартом профільної середньої освіти. «Інтегрований курс «Захист України» у Новій українській школі.</w:t>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Загальнопедагогічна підготовка»</w:t>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Олена ШИЯН,</w:t>
            </w:r>
          </w:p>
          <w:p w:rsidR="00000000" w:rsidDel="00000000" w:rsidP="00000000" w:rsidRDefault="00000000" w:rsidRPr="00000000" w14:paraId="000000A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Володимир ПОЛУЛЯХ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суспільствознавчої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680</w:t>
            </w:r>
          </w:p>
        </w:tc>
      </w:tr>
    </w:tbl>
    <w:p w:rsidR="00000000" w:rsidDel="00000000" w:rsidP="00000000" w:rsidRDefault="00000000" w:rsidRPr="00000000" w14:paraId="000000A3">
      <w:pPr>
        <w:spacing w:after="200"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