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7555"/>
      </w:tblGrid>
      <w:tr w14:paraId="442C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436695B5">
            <w:pPr>
              <w:pStyle w:val="36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18A1CEA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3A8426E2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7AD478D3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66B1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1414E">
            <w:pPr>
              <w:rPr>
                <w:b/>
                <w:color w:val="333399"/>
                <w:sz w:val="8"/>
                <w:szCs w:val="8"/>
              </w:rPr>
            </w:pPr>
          </w:p>
          <w:p w14:paraId="35732DB2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1EACCFE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399B3CE7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1EF0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37C36F3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19.08.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55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</w:t>
            </w:r>
          </w:p>
          <w:p w14:paraId="1F54B14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0F213EE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09768B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23DAD1FC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1CB6769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1B921879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4EC19201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організацію підвищення </w:t>
      </w:r>
    </w:p>
    <w:p w14:paraId="730B051B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кваліфікації  педагогічних працівників</w:t>
      </w:r>
    </w:p>
    <w:p w14:paraId="08CFC75C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у вересні- грудні </w:t>
      </w:r>
      <w:r>
        <w:rPr>
          <w:b/>
          <w:i/>
          <w:sz w:val="28"/>
          <w:szCs w:val="28"/>
          <w:lang w:val="en-US"/>
        </w:rPr>
        <w:t>202</w:t>
      </w:r>
      <w:r>
        <w:rPr>
          <w:b/>
          <w:i/>
          <w:sz w:val="28"/>
          <w:szCs w:val="28"/>
          <w:lang w:val="uk-UA"/>
        </w:rPr>
        <w:t>5 року</w:t>
      </w:r>
    </w:p>
    <w:p w14:paraId="261FD34A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07A30E40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Департаменту освіти і науки Львівської облдержадміністрації від 08.01.2025 №02-01/01/03 «Про регіональне замовлення на підвищення кваліфікації педагогічних працівників області у 2025 році» інститут організовує навчання педагогічних працівників області у вересні - грудні 2025 року відповідно до замовлень, поданих місцевими органами управління освітою і закладами освіти.</w:t>
      </w:r>
    </w:p>
    <w:p w14:paraId="57C62DD7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Надсилаємо графіки (додаток 1-8) та списки груп (30,36 год та 8,15 год) з внесеними змінами педагогічних працівників області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на вересень-грудень 2025 року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додаток 9-16).</w:t>
      </w:r>
    </w:p>
    <w:p w14:paraId="68D971E9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Просимо звернути увагу на зміни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термінах навчання та </w:t>
      </w:r>
      <w:r>
        <w:rPr>
          <w:sz w:val="28"/>
          <w:szCs w:val="28"/>
        </w:rPr>
        <w:t>списк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.</w:t>
      </w:r>
    </w:p>
    <w:p w14:paraId="78F3EB8E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40A0A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6E288555">
      <w:pPr>
        <w:jc w:val="center"/>
        <w:rPr>
          <w:b/>
          <w:sz w:val="28"/>
          <w:szCs w:val="28"/>
        </w:rPr>
      </w:pPr>
    </w:p>
    <w:p w14:paraId="238FF954">
      <w:pPr>
        <w:jc w:val="center"/>
        <w:rPr>
          <w:sz w:val="36"/>
          <w:szCs w:val="36"/>
        </w:rPr>
      </w:pPr>
    </w:p>
    <w:p w14:paraId="655CD146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34D54864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7546F59F">
      <w:r>
        <w:rPr>
          <w:sz w:val="22"/>
          <w:szCs w:val="22"/>
        </w:rPr>
        <w:t>Тел.:(032)2554048</w:t>
      </w:r>
    </w:p>
    <w:p w14:paraId="3E49D809"/>
    <w:p w14:paraId="578A64E3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AC"/>
    <w:rsid w:val="00165B92"/>
    <w:rsid w:val="00235EA0"/>
    <w:rsid w:val="003721D4"/>
    <w:rsid w:val="003F0DF2"/>
    <w:rsid w:val="00591DAC"/>
    <w:rsid w:val="00A32B14"/>
    <w:rsid w:val="00A46676"/>
    <w:rsid w:val="00AB776A"/>
    <w:rsid w:val="00B27958"/>
    <w:rsid w:val="00D8252D"/>
    <w:rsid w:val="00EB4A8E"/>
    <w:rsid w:val="00FC5A75"/>
    <w:rsid w:val="4D6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semiHidden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semiHidden/>
    <w:unhideWhenUsed/>
    <w:qFormat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3">
    <w:name w:val="Насичена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semiHidden/>
    <w:qFormat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900</Words>
  <Characters>513</Characters>
  <Lines>4</Lines>
  <Paragraphs>2</Paragraphs>
  <TotalTime>6</TotalTime>
  <ScaleCrop>false</ScaleCrop>
  <LinksUpToDate>false</LinksUpToDate>
  <CharactersWithSpaces>1411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2025-08-19T12:52:00Z</dcterms:created>
  <dc:creator>o.kalychak@loippo.lviv.ua</dc:creator>
  <cp:lastModifiedBy>admin</cp:lastModifiedBy>
  <dcterms:modified xsi:type="dcterms:W3CDTF">2025-08-19T13:49:33Z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8EE36C83D2AE4FBDA806B69953CE248C_12</vt:lpwstr>
  </property>
</Properties>
</file>