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9C3" w14:textId="0A90E64F" w:rsidR="003A7DAA" w:rsidRDefault="00FC3AEF" w:rsidP="002626E6">
      <w:pPr>
        <w:jc w:val="center"/>
        <w:rPr>
          <w:b/>
          <w:bCs/>
          <w:sz w:val="28"/>
          <w:szCs w:val="28"/>
        </w:rPr>
      </w:pPr>
      <w:r>
        <w:rPr>
          <w:b/>
          <w:bCs/>
          <w:sz w:val="28"/>
          <w:szCs w:val="28"/>
        </w:rPr>
        <w:t>Аналітичний з</w:t>
      </w:r>
      <w:r w:rsidR="002626E6" w:rsidRPr="002626E6">
        <w:rPr>
          <w:b/>
          <w:bCs/>
          <w:sz w:val="28"/>
          <w:szCs w:val="28"/>
        </w:rPr>
        <w:t>віт</w:t>
      </w:r>
    </w:p>
    <w:p w14:paraId="51C5F2A0" w14:textId="70A94599" w:rsidR="002626E6" w:rsidRDefault="002626E6" w:rsidP="00725A5D">
      <w:pPr>
        <w:spacing w:line="276" w:lineRule="auto"/>
        <w:jc w:val="center"/>
        <w:rPr>
          <w:b/>
          <w:bCs/>
          <w:sz w:val="28"/>
          <w:szCs w:val="28"/>
        </w:rPr>
      </w:pPr>
      <w:r>
        <w:rPr>
          <w:b/>
          <w:bCs/>
          <w:sz w:val="28"/>
          <w:szCs w:val="28"/>
        </w:rPr>
        <w:t>за результатами узагальнення відповідей педагогічних працівників територіальних громад Львівської області щодо курсів підвищення кваліфікації у КЗ ЛОР «Львівський обласний інститут післядипломної педагогічної освіти»</w:t>
      </w:r>
    </w:p>
    <w:p w14:paraId="41864BFD" w14:textId="533DE6D7" w:rsidR="00FC3AEF" w:rsidRDefault="00FC3AEF" w:rsidP="00FC3AEF">
      <w:pPr>
        <w:pStyle w:val="a9"/>
        <w:numPr>
          <w:ilvl w:val="0"/>
          <w:numId w:val="1"/>
        </w:numPr>
        <w:jc w:val="both"/>
        <w:rPr>
          <w:b/>
          <w:bCs/>
          <w:sz w:val="28"/>
          <w:szCs w:val="28"/>
        </w:rPr>
      </w:pPr>
      <w:r>
        <w:rPr>
          <w:b/>
          <w:bCs/>
          <w:sz w:val="28"/>
          <w:szCs w:val="28"/>
        </w:rPr>
        <w:t>Загальна характеристика дослідження.</w:t>
      </w:r>
    </w:p>
    <w:p w14:paraId="5724AE1D" w14:textId="77777777" w:rsidR="00FC3AEF" w:rsidRDefault="00FC3AEF" w:rsidP="00FC3AEF">
      <w:pPr>
        <w:spacing w:after="0" w:line="276" w:lineRule="auto"/>
        <w:ind w:left="360" w:firstLine="348"/>
        <w:jc w:val="both"/>
        <w:rPr>
          <w:rFonts w:eastAsia="Times New Roman" w:cs="Times New Roman"/>
          <w:sz w:val="28"/>
          <w:szCs w:val="28"/>
          <w:lang w:eastAsia="uk-UA"/>
        </w:rPr>
      </w:pPr>
      <w:r w:rsidRPr="00FC3AEF">
        <w:rPr>
          <w:rFonts w:eastAsia="Times New Roman" w:cs="Times New Roman"/>
          <w:sz w:val="28"/>
          <w:szCs w:val="28"/>
          <w:lang w:eastAsia="uk-UA"/>
        </w:rPr>
        <w:t xml:space="preserve">Аналітичний звіт підготовлено на основі матеріалів, отриманих у ході проведення круглих столів та заходів у форматі «Світове кафе» за участю керівників відділів освіти, ЦПРПП, керівників та педагогічних працівників закладів освіти шести територіальних громад Львівської області: </w:t>
      </w:r>
    </w:p>
    <w:p w14:paraId="627CFB51" w14:textId="120427D9" w:rsidR="00FC3AEF" w:rsidRPr="00FC3AEF" w:rsidRDefault="00FC3AEF" w:rsidP="00FC3AEF">
      <w:pPr>
        <w:pStyle w:val="a9"/>
        <w:numPr>
          <w:ilvl w:val="0"/>
          <w:numId w:val="4"/>
        </w:numPr>
        <w:jc w:val="both"/>
        <w:rPr>
          <w:bCs/>
          <w:sz w:val="20"/>
          <w:szCs w:val="20"/>
        </w:rPr>
      </w:pPr>
      <w:r w:rsidRPr="00FC3AEF">
        <w:rPr>
          <w:rFonts w:eastAsia="Times New Roman" w:cs="Times New Roman"/>
          <w:sz w:val="28"/>
          <w:szCs w:val="28"/>
          <w:lang w:eastAsia="uk-UA"/>
        </w:rPr>
        <w:t>Дрогобицько</w:t>
      </w:r>
      <w:r w:rsidR="000D51A2">
        <w:rPr>
          <w:rFonts w:eastAsia="Times New Roman" w:cs="Times New Roman"/>
          <w:sz w:val="28"/>
          <w:szCs w:val="28"/>
          <w:lang w:eastAsia="uk-UA"/>
        </w:rPr>
        <w:t>го району</w:t>
      </w:r>
      <w:r w:rsidRPr="00FC3AEF">
        <w:rPr>
          <w:rFonts w:eastAsia="Times New Roman" w:cs="Times New Roman"/>
          <w:sz w:val="28"/>
          <w:szCs w:val="28"/>
          <w:lang w:eastAsia="uk-UA"/>
        </w:rPr>
        <w:t xml:space="preserve"> (Додаток 1)</w:t>
      </w:r>
    </w:p>
    <w:p w14:paraId="6FC2449D" w14:textId="77777777" w:rsidR="00FC3AEF" w:rsidRPr="00687132" w:rsidRDefault="00FC3AEF" w:rsidP="00FC3AEF">
      <w:pPr>
        <w:pStyle w:val="a9"/>
        <w:ind w:left="1069"/>
        <w:rPr>
          <w:bCs/>
          <w:sz w:val="20"/>
          <w:szCs w:val="20"/>
        </w:rPr>
      </w:pPr>
      <w:hyperlink r:id="rId5" w:history="1">
        <w:r w:rsidRPr="006E71C6">
          <w:rPr>
            <w:rStyle w:val="ae"/>
            <w:bCs/>
            <w:sz w:val="20"/>
            <w:szCs w:val="20"/>
          </w:rPr>
          <w:t>https://loippo.lviv.ua/%d0%ba%d1%80%d1%83%d0%b3%d0%bb%d0%b8%d0%b9-%d1%81%d1%82%d1%96%d0%bb-%d1%83-%d0%b4%d1%80%d0%be%d0%b3%d0%be%d0%b1%d0%b8%d1%87%d1%96-%d0%bf%d1%80%d0%be-%d0%b7%d0%b0%d0%b1%d0%b5%d0%b7%d0%bf%d0%b5%d1%87/</w:t>
        </w:r>
      </w:hyperlink>
      <w:r>
        <w:rPr>
          <w:bCs/>
          <w:sz w:val="20"/>
          <w:szCs w:val="20"/>
        </w:rPr>
        <w:t xml:space="preserve"> )</w:t>
      </w:r>
    </w:p>
    <w:p w14:paraId="4A17F0CE" w14:textId="2D282E7A" w:rsidR="00FC3AEF" w:rsidRPr="00687132" w:rsidRDefault="00FC3AEF" w:rsidP="00FC3AEF">
      <w:pPr>
        <w:pStyle w:val="a9"/>
        <w:numPr>
          <w:ilvl w:val="0"/>
          <w:numId w:val="3"/>
        </w:numPr>
        <w:jc w:val="both"/>
      </w:pPr>
      <w:r w:rsidRPr="00FC3AEF">
        <w:rPr>
          <w:rFonts w:eastAsia="Times New Roman" w:cs="Times New Roman"/>
          <w:sz w:val="28"/>
          <w:szCs w:val="28"/>
          <w:lang w:eastAsia="uk-UA"/>
        </w:rPr>
        <w:t>Золочівсько</w:t>
      </w:r>
      <w:r w:rsidR="000D51A2">
        <w:rPr>
          <w:rFonts w:eastAsia="Times New Roman" w:cs="Times New Roman"/>
          <w:sz w:val="28"/>
          <w:szCs w:val="28"/>
          <w:lang w:eastAsia="uk-UA"/>
        </w:rPr>
        <w:t>го району</w:t>
      </w:r>
      <w:r w:rsidRPr="00FC3AEF">
        <w:rPr>
          <w:rFonts w:eastAsia="Times New Roman" w:cs="Times New Roman"/>
          <w:sz w:val="28"/>
          <w:szCs w:val="28"/>
          <w:lang w:eastAsia="uk-UA"/>
        </w:rPr>
        <w:t xml:space="preserve"> (Додаток 2)</w:t>
      </w:r>
    </w:p>
    <w:p w14:paraId="137DEAB3" w14:textId="77777777" w:rsidR="00FC3AEF" w:rsidRPr="00FC3AEF" w:rsidRDefault="00FC3AEF" w:rsidP="00FC3AEF">
      <w:pPr>
        <w:pStyle w:val="a9"/>
        <w:ind w:left="1069"/>
        <w:rPr>
          <w:sz w:val="20"/>
          <w:szCs w:val="20"/>
        </w:rPr>
      </w:pPr>
      <w:hyperlink r:id="rId6" w:history="1">
        <w:r w:rsidRPr="00FC3AEF">
          <w:rPr>
            <w:rStyle w:val="ae"/>
            <w:bCs/>
            <w:sz w:val="20"/>
            <w:szCs w:val="20"/>
          </w:rPr>
          <w:t>https://loippo.lviv.ua/%d0%bf%d1%80%d0%be%d0%b4%d0%be%d0%b2%d0%b6%d1%83%d1%94%d0%bc%d0%be-%d0%be%d0%b1%d0%b3%d0%be%d0%b2%d0%be%d1%80%d1%8e%d0%b2%d0%b0%d1%82%d0%b8-%d0%b7-%d0%bf%d0%b5%d0%b4%d0%b0%d0%b3%d0%be%d0%b3%d0%b0-2/</w:t>
        </w:r>
      </w:hyperlink>
    </w:p>
    <w:p w14:paraId="60A1A307" w14:textId="6063DD73" w:rsidR="00FC3AEF" w:rsidRDefault="00FC3AEF" w:rsidP="00FC3AEF">
      <w:pPr>
        <w:pStyle w:val="a9"/>
        <w:numPr>
          <w:ilvl w:val="0"/>
          <w:numId w:val="2"/>
        </w:numPr>
        <w:spacing w:after="0" w:line="360" w:lineRule="auto"/>
        <w:jc w:val="both"/>
        <w:rPr>
          <w:rFonts w:eastAsia="Times New Roman" w:cs="Times New Roman"/>
          <w:sz w:val="28"/>
          <w:szCs w:val="28"/>
          <w:lang w:eastAsia="uk-UA"/>
        </w:rPr>
      </w:pPr>
      <w:r w:rsidRPr="00FC3AEF">
        <w:rPr>
          <w:rFonts w:eastAsia="Times New Roman" w:cs="Times New Roman"/>
          <w:sz w:val="28"/>
          <w:szCs w:val="28"/>
          <w:lang w:eastAsia="uk-UA"/>
        </w:rPr>
        <w:t>Львівсько</w:t>
      </w:r>
      <w:r w:rsidR="000D51A2">
        <w:rPr>
          <w:rFonts w:eastAsia="Times New Roman" w:cs="Times New Roman"/>
          <w:sz w:val="28"/>
          <w:szCs w:val="28"/>
          <w:lang w:eastAsia="uk-UA"/>
        </w:rPr>
        <w:t>го району</w:t>
      </w:r>
      <w:r w:rsidR="007A0A21">
        <w:rPr>
          <w:rFonts w:eastAsia="Times New Roman" w:cs="Times New Roman"/>
          <w:sz w:val="28"/>
          <w:szCs w:val="28"/>
          <w:lang w:eastAsia="uk-UA"/>
        </w:rPr>
        <w:t xml:space="preserve"> </w:t>
      </w:r>
    </w:p>
    <w:p w14:paraId="3B182762" w14:textId="37AC2A6D" w:rsidR="00F3442E" w:rsidRDefault="00F3442E" w:rsidP="00F3442E">
      <w:pPr>
        <w:pStyle w:val="a9"/>
        <w:numPr>
          <w:ilvl w:val="0"/>
          <w:numId w:val="2"/>
        </w:numPr>
        <w:spacing w:after="0" w:line="276" w:lineRule="auto"/>
        <w:rPr>
          <w:rFonts w:eastAsia="Times New Roman" w:cs="Times New Roman"/>
          <w:sz w:val="20"/>
          <w:szCs w:val="20"/>
          <w:lang w:eastAsia="uk-UA"/>
        </w:rPr>
      </w:pPr>
      <w:hyperlink r:id="rId7" w:history="1">
        <w:r w:rsidRPr="00AE16E4">
          <w:rPr>
            <w:rStyle w:val="ae"/>
            <w:rFonts w:eastAsia="Times New Roman" w:cs="Times New Roman"/>
            <w:sz w:val="20"/>
            <w:szCs w:val="20"/>
            <w:lang w:eastAsia="uk-UA"/>
          </w:rPr>
          <w:t>https://loippo.lviv.ua/%d0%ba%d1%80%d1%83%d0%b3%d0%bb%d0%b8%d0%b9-%d1%81%d1%82%d1%96%d0%bb-%d1%83-%d0%bb%d0%be%d1%96%d0%bf%d0%bf%d0%be-%d1%81%d0%bf%d1%96%d0%bb%d1%8c%d0%bd%d1%96-%d0%ba%d1%80%d0%be%d0%ba%d0%b8-%d0%b4%d0%be/</w:t>
        </w:r>
      </w:hyperlink>
    </w:p>
    <w:p w14:paraId="59DE2146" w14:textId="77777777" w:rsidR="00F3442E" w:rsidRPr="007A0A21" w:rsidRDefault="00F3442E" w:rsidP="007A0A21">
      <w:pPr>
        <w:spacing w:after="0" w:line="276" w:lineRule="auto"/>
        <w:ind w:left="709"/>
        <w:rPr>
          <w:rFonts w:eastAsia="Times New Roman" w:cs="Times New Roman"/>
          <w:sz w:val="20"/>
          <w:szCs w:val="20"/>
          <w:lang w:eastAsia="uk-UA"/>
        </w:rPr>
      </w:pPr>
    </w:p>
    <w:p w14:paraId="33F820C1" w14:textId="31203788" w:rsidR="00FC3AEF" w:rsidRDefault="00FC3AEF" w:rsidP="00FC3AEF">
      <w:pPr>
        <w:pStyle w:val="a9"/>
        <w:numPr>
          <w:ilvl w:val="0"/>
          <w:numId w:val="2"/>
        </w:numPr>
        <w:spacing w:after="0" w:line="360" w:lineRule="auto"/>
        <w:jc w:val="both"/>
        <w:rPr>
          <w:rFonts w:eastAsia="Times New Roman" w:cs="Times New Roman"/>
          <w:sz w:val="28"/>
          <w:szCs w:val="28"/>
          <w:lang w:eastAsia="uk-UA"/>
        </w:rPr>
      </w:pPr>
      <w:r w:rsidRPr="00687132">
        <w:rPr>
          <w:rFonts w:eastAsia="Times New Roman" w:cs="Times New Roman"/>
          <w:sz w:val="28"/>
          <w:szCs w:val="28"/>
          <w:lang w:eastAsia="uk-UA"/>
        </w:rPr>
        <w:t>Стрийсько</w:t>
      </w:r>
      <w:r w:rsidR="000D51A2">
        <w:rPr>
          <w:rFonts w:eastAsia="Times New Roman" w:cs="Times New Roman"/>
          <w:sz w:val="28"/>
          <w:szCs w:val="28"/>
          <w:lang w:eastAsia="uk-UA"/>
        </w:rPr>
        <w:t>го району</w:t>
      </w:r>
      <w:r>
        <w:rPr>
          <w:rFonts w:eastAsia="Times New Roman" w:cs="Times New Roman"/>
          <w:sz w:val="28"/>
          <w:szCs w:val="28"/>
          <w:lang w:eastAsia="uk-UA"/>
        </w:rPr>
        <w:t xml:space="preserve"> (Додаток 3)</w:t>
      </w:r>
    </w:p>
    <w:p w14:paraId="510D6474" w14:textId="77777777" w:rsidR="00FC3AEF" w:rsidRPr="00687132" w:rsidRDefault="00FC3AEF" w:rsidP="00FC3AEF">
      <w:pPr>
        <w:pStyle w:val="a9"/>
        <w:spacing w:after="0" w:line="240" w:lineRule="auto"/>
        <w:ind w:left="1069"/>
        <w:jc w:val="both"/>
        <w:rPr>
          <w:rFonts w:eastAsia="Times New Roman" w:cs="Times New Roman"/>
          <w:sz w:val="28"/>
          <w:szCs w:val="28"/>
          <w:lang w:eastAsia="uk-UA"/>
        </w:rPr>
      </w:pPr>
      <w:hyperlink r:id="rId8" w:history="1">
        <w:r w:rsidRPr="00687132">
          <w:rPr>
            <w:rStyle w:val="ae"/>
            <w:bCs/>
            <w:sz w:val="20"/>
            <w:szCs w:val="20"/>
          </w:rPr>
          <w:t>https://loippo.lviv.ua/%d0%bb%d0%be%d1%96%d0%bf%d0%bf%d0%be-%d0%bf%d1%96%d0%b4%d1%82%d1%80%d0%b8%d0%bc%d1%83%d1%94-%d0%bf%d1%80%d0%be%d1%84%d0%b5%d1%81%d1%96%d0%b9%d0%bd%d0%b8%d0%b9-%d1%80%d0%be%d0%b7%d0%b2%d0%b8%d1%82/</w:t>
        </w:r>
      </w:hyperlink>
    </w:p>
    <w:p w14:paraId="09D395E7" w14:textId="0DEFF014" w:rsidR="00FC3AEF" w:rsidRDefault="00FC3AEF" w:rsidP="00FC3AEF">
      <w:pPr>
        <w:pStyle w:val="a9"/>
        <w:numPr>
          <w:ilvl w:val="0"/>
          <w:numId w:val="2"/>
        </w:numPr>
        <w:spacing w:after="0" w:line="360" w:lineRule="auto"/>
        <w:jc w:val="both"/>
        <w:rPr>
          <w:rFonts w:eastAsia="Times New Roman" w:cs="Times New Roman"/>
          <w:sz w:val="28"/>
          <w:szCs w:val="28"/>
          <w:lang w:eastAsia="uk-UA"/>
        </w:rPr>
      </w:pPr>
      <w:r w:rsidRPr="00687132">
        <w:rPr>
          <w:rFonts w:eastAsia="Times New Roman" w:cs="Times New Roman"/>
          <w:sz w:val="28"/>
          <w:szCs w:val="28"/>
          <w:lang w:eastAsia="uk-UA"/>
        </w:rPr>
        <w:t>Самбірсько</w:t>
      </w:r>
      <w:r w:rsidR="000D51A2">
        <w:rPr>
          <w:rFonts w:eastAsia="Times New Roman" w:cs="Times New Roman"/>
          <w:sz w:val="28"/>
          <w:szCs w:val="28"/>
          <w:lang w:eastAsia="uk-UA"/>
        </w:rPr>
        <w:t>го району</w:t>
      </w:r>
      <w:r>
        <w:rPr>
          <w:rFonts w:eastAsia="Times New Roman" w:cs="Times New Roman"/>
          <w:sz w:val="28"/>
          <w:szCs w:val="28"/>
          <w:lang w:eastAsia="uk-UA"/>
        </w:rPr>
        <w:t xml:space="preserve"> (Додаток 4)</w:t>
      </w:r>
    </w:p>
    <w:p w14:paraId="152A77A4" w14:textId="77777777" w:rsidR="00FC3AEF" w:rsidRPr="00687132" w:rsidRDefault="00FC3AEF" w:rsidP="00FC3AEF">
      <w:pPr>
        <w:pStyle w:val="a9"/>
        <w:ind w:left="1069"/>
        <w:rPr>
          <w:bCs/>
          <w:sz w:val="20"/>
          <w:szCs w:val="20"/>
        </w:rPr>
      </w:pPr>
      <w:hyperlink r:id="rId9" w:history="1">
        <w:r w:rsidRPr="006E71C6">
          <w:rPr>
            <w:rStyle w:val="ae"/>
            <w:bCs/>
            <w:sz w:val="20"/>
            <w:szCs w:val="20"/>
          </w:rPr>
          <w:t>https://loippo.lviv.ua/%d0%ba%d1%80%d1%83%d0%b3%d0%bb%d0%b8%d0%b9-%d1%81%d1%82%d1%96%d0%bb-%d1%83-%d1%81%d0%b0%d0%bc%d0%b1%d0%be%d1%80%d1%96-%d1%8f%d0%ba-%d0%bf%d0%be%d0%ba%d1%80%d0%b0%d1%89%d0%b8%d1%82%d0%b8/</w:t>
        </w:r>
      </w:hyperlink>
    </w:p>
    <w:p w14:paraId="193C9550" w14:textId="0C5B9C4F" w:rsidR="00FC3AEF" w:rsidRDefault="00FC3AEF" w:rsidP="00FC3AEF">
      <w:pPr>
        <w:pStyle w:val="a9"/>
        <w:numPr>
          <w:ilvl w:val="0"/>
          <w:numId w:val="2"/>
        </w:numPr>
        <w:spacing w:after="0" w:line="360" w:lineRule="auto"/>
        <w:jc w:val="both"/>
        <w:rPr>
          <w:rFonts w:eastAsia="Times New Roman" w:cs="Times New Roman"/>
          <w:sz w:val="28"/>
          <w:szCs w:val="28"/>
          <w:lang w:eastAsia="uk-UA"/>
        </w:rPr>
      </w:pPr>
      <w:r w:rsidRPr="00687132">
        <w:rPr>
          <w:rFonts w:eastAsia="Times New Roman" w:cs="Times New Roman"/>
          <w:sz w:val="28"/>
          <w:szCs w:val="28"/>
          <w:lang w:eastAsia="uk-UA"/>
        </w:rPr>
        <w:t>Шептицько</w:t>
      </w:r>
      <w:r w:rsidR="000D51A2">
        <w:rPr>
          <w:rFonts w:eastAsia="Times New Roman" w:cs="Times New Roman"/>
          <w:sz w:val="28"/>
          <w:szCs w:val="28"/>
          <w:lang w:eastAsia="uk-UA"/>
        </w:rPr>
        <w:t>го району</w:t>
      </w:r>
      <w:r>
        <w:rPr>
          <w:rFonts w:eastAsia="Times New Roman" w:cs="Times New Roman"/>
          <w:sz w:val="28"/>
          <w:szCs w:val="28"/>
          <w:lang w:eastAsia="uk-UA"/>
        </w:rPr>
        <w:t xml:space="preserve"> (Додаток 5)</w:t>
      </w:r>
    </w:p>
    <w:p w14:paraId="4438E385" w14:textId="77777777" w:rsidR="00FC3AEF" w:rsidRPr="00687132" w:rsidRDefault="00FC3AEF" w:rsidP="00FC3AEF">
      <w:pPr>
        <w:pStyle w:val="a9"/>
        <w:ind w:left="1069"/>
        <w:rPr>
          <w:bCs/>
          <w:sz w:val="20"/>
          <w:szCs w:val="20"/>
        </w:rPr>
      </w:pPr>
      <w:hyperlink r:id="rId10" w:history="1">
        <w:r w:rsidRPr="006E71C6">
          <w:rPr>
            <w:rStyle w:val="ae"/>
            <w:bCs/>
            <w:sz w:val="20"/>
            <w:szCs w:val="20"/>
          </w:rPr>
          <w:t>https://loippo.lviv.ua/%D1%8F%D0%BA-%D0%B7%D0%B0%D0%B1%D0%B5%D0%B7%D0%BF%D0%B5%D1%87%D0%B8%D1%82%D0%B8-%D1%8F%D0%BA%D1%96%D1%81%D0%BD%D0%B8%D0%B9-%D0%BF%D1%80%D0%BE%D1%84%D0%B5%D1%81%D1%96%D0%B9%D0%BD%D0%B8%D0%B9-%D1%80/</w:t>
        </w:r>
      </w:hyperlink>
    </w:p>
    <w:p w14:paraId="557D4DC4" w14:textId="7477C2E8" w:rsidR="00FC3AEF" w:rsidRDefault="00FC3AEF" w:rsidP="00FC3AEF">
      <w:pPr>
        <w:pStyle w:val="a9"/>
        <w:numPr>
          <w:ilvl w:val="0"/>
          <w:numId w:val="2"/>
        </w:numPr>
        <w:spacing w:after="0" w:line="360" w:lineRule="auto"/>
        <w:jc w:val="both"/>
        <w:rPr>
          <w:rFonts w:eastAsia="Times New Roman" w:cs="Times New Roman"/>
          <w:sz w:val="28"/>
          <w:szCs w:val="28"/>
          <w:lang w:eastAsia="uk-UA"/>
        </w:rPr>
      </w:pPr>
      <w:r w:rsidRPr="00687132">
        <w:rPr>
          <w:rFonts w:eastAsia="Times New Roman" w:cs="Times New Roman"/>
          <w:sz w:val="28"/>
          <w:szCs w:val="28"/>
          <w:lang w:eastAsia="uk-UA"/>
        </w:rPr>
        <w:t>Яворівсько</w:t>
      </w:r>
      <w:r w:rsidR="000D51A2">
        <w:rPr>
          <w:rFonts w:eastAsia="Times New Roman" w:cs="Times New Roman"/>
          <w:sz w:val="28"/>
          <w:szCs w:val="28"/>
          <w:lang w:eastAsia="uk-UA"/>
        </w:rPr>
        <w:t>го району</w:t>
      </w:r>
      <w:r>
        <w:rPr>
          <w:rFonts w:eastAsia="Times New Roman" w:cs="Times New Roman"/>
          <w:sz w:val="28"/>
          <w:szCs w:val="28"/>
          <w:lang w:eastAsia="uk-UA"/>
        </w:rPr>
        <w:t xml:space="preserve"> (Додаток 6)</w:t>
      </w:r>
    </w:p>
    <w:p w14:paraId="431D39FC" w14:textId="77777777" w:rsidR="00FC3AEF" w:rsidRDefault="00FC3AEF" w:rsidP="00FC3AEF">
      <w:pPr>
        <w:pStyle w:val="a9"/>
        <w:ind w:left="1069"/>
      </w:pPr>
      <w:hyperlink r:id="rId11" w:history="1">
        <w:r w:rsidRPr="006E71C6">
          <w:rPr>
            <w:rStyle w:val="ae"/>
            <w:bCs/>
            <w:sz w:val="20"/>
            <w:szCs w:val="20"/>
          </w:rPr>
          <w:t>https://loippo.lviv.ua/%d0%bf%d1%80%d0%be%d0%b4%d0%be%d0%b2%d0%b6%d1%83%d1%94%d0%bc%d0%be-%d0%be%d0%b1%d0%b3%d0%be%d0%b2%d0%be%d1%80%d1%8e%d0%b2%d0%b0%d1%82%d0%b8-%d0%b7-%d0%bf%d0%b5%d0%b4%d0%b0%d0%b3%d0%be%d0%b3%d0%b0/</w:t>
        </w:r>
      </w:hyperlink>
    </w:p>
    <w:p w14:paraId="2A89B8B2" w14:textId="77777777" w:rsidR="00FC3AEF" w:rsidRDefault="00FC3AEF" w:rsidP="00FC3AEF">
      <w:pPr>
        <w:spacing w:after="0" w:line="276" w:lineRule="auto"/>
        <w:ind w:firstLine="709"/>
        <w:jc w:val="both"/>
        <w:rPr>
          <w:rFonts w:eastAsia="Times New Roman" w:cs="Times New Roman"/>
          <w:sz w:val="28"/>
          <w:szCs w:val="28"/>
          <w:lang w:eastAsia="uk-UA"/>
        </w:rPr>
      </w:pPr>
      <w:r w:rsidRPr="00323026">
        <w:rPr>
          <w:rFonts w:eastAsia="Times New Roman" w:cs="Times New Roman"/>
          <w:sz w:val="28"/>
          <w:szCs w:val="28"/>
          <w:lang w:eastAsia="uk-UA"/>
        </w:rPr>
        <w:lastRenderedPageBreak/>
        <w:t xml:space="preserve">Метою узагальнення є системний аналіз досвіду педагогів </w:t>
      </w:r>
      <w:r>
        <w:rPr>
          <w:rFonts w:eastAsia="Times New Roman" w:cs="Times New Roman"/>
          <w:sz w:val="28"/>
          <w:szCs w:val="28"/>
          <w:lang w:eastAsia="uk-UA"/>
        </w:rPr>
        <w:t xml:space="preserve">області </w:t>
      </w:r>
      <w:r w:rsidRPr="00323026">
        <w:rPr>
          <w:rFonts w:eastAsia="Times New Roman" w:cs="Times New Roman"/>
          <w:sz w:val="28"/>
          <w:szCs w:val="28"/>
          <w:lang w:eastAsia="uk-UA"/>
        </w:rPr>
        <w:t xml:space="preserve">щодо проходження курсів підвищення кваліфікації в </w:t>
      </w:r>
      <w:r>
        <w:rPr>
          <w:rFonts w:eastAsia="Times New Roman" w:cs="Times New Roman"/>
          <w:sz w:val="28"/>
          <w:szCs w:val="28"/>
          <w:lang w:eastAsia="uk-UA"/>
        </w:rPr>
        <w:t xml:space="preserve">КЗ ЛОР </w:t>
      </w:r>
      <w:r w:rsidRPr="00323026">
        <w:rPr>
          <w:rFonts w:eastAsia="Times New Roman" w:cs="Times New Roman"/>
          <w:sz w:val="28"/>
          <w:szCs w:val="28"/>
          <w:lang w:eastAsia="uk-UA"/>
        </w:rPr>
        <w:t>ЛОІППО, визначення ключових чинників вибору курсів, способів використання та поширення отриманих знань, а також виявлення актуальних потреб і пропозицій для подальшого вдосконалення системи підвищення кваліфікації.</w:t>
      </w:r>
    </w:p>
    <w:p w14:paraId="17BCF36A" w14:textId="053318BA" w:rsidR="00226755" w:rsidRDefault="00226755" w:rsidP="00226755">
      <w:pPr>
        <w:pStyle w:val="a9"/>
        <w:numPr>
          <w:ilvl w:val="0"/>
          <w:numId w:val="1"/>
        </w:numPr>
        <w:spacing w:after="0" w:line="276" w:lineRule="auto"/>
        <w:jc w:val="both"/>
        <w:rPr>
          <w:rFonts w:eastAsia="Times New Roman" w:cs="Times New Roman"/>
          <w:b/>
          <w:bCs/>
          <w:sz w:val="28"/>
          <w:szCs w:val="28"/>
          <w:lang w:eastAsia="uk-UA"/>
        </w:rPr>
      </w:pPr>
      <w:r>
        <w:rPr>
          <w:rFonts w:eastAsia="Times New Roman" w:cs="Times New Roman"/>
          <w:b/>
          <w:bCs/>
          <w:sz w:val="28"/>
          <w:szCs w:val="28"/>
          <w:lang w:eastAsia="uk-UA"/>
        </w:rPr>
        <w:t>Узагальнений аналіз результатів</w:t>
      </w:r>
    </w:p>
    <w:p w14:paraId="36C5C33B" w14:textId="7051B44B" w:rsidR="00226755" w:rsidRPr="007F675D" w:rsidRDefault="00226755" w:rsidP="00C423C1">
      <w:pPr>
        <w:pStyle w:val="af"/>
        <w:spacing w:before="0" w:beforeAutospacing="0" w:after="0" w:afterAutospacing="0" w:line="276" w:lineRule="auto"/>
        <w:ind w:firstLine="360"/>
        <w:jc w:val="both"/>
        <w:rPr>
          <w:sz w:val="28"/>
        </w:rPr>
      </w:pPr>
      <w:r>
        <w:rPr>
          <w:b/>
          <w:bCs/>
          <w:sz w:val="28"/>
          <w:szCs w:val="28"/>
        </w:rPr>
        <w:t>2.1.</w:t>
      </w:r>
      <w:r w:rsidRPr="00226755">
        <w:rPr>
          <w:rStyle w:val="50"/>
          <w:sz w:val="28"/>
        </w:rPr>
        <w:t xml:space="preserve"> </w:t>
      </w:r>
      <w:r w:rsidRPr="007F675D">
        <w:rPr>
          <w:rStyle w:val="af0"/>
          <w:rFonts w:eastAsiaTheme="majorEastAsia"/>
          <w:sz w:val="28"/>
        </w:rPr>
        <w:t xml:space="preserve">Враження педагогів від навчання на курсах підвищення кваліфікації в </w:t>
      </w:r>
      <w:r>
        <w:rPr>
          <w:rStyle w:val="af0"/>
          <w:rFonts w:eastAsiaTheme="majorEastAsia"/>
          <w:sz w:val="28"/>
        </w:rPr>
        <w:t xml:space="preserve">КЗ ЛОР </w:t>
      </w:r>
      <w:r w:rsidRPr="007F675D">
        <w:rPr>
          <w:rStyle w:val="af0"/>
          <w:rFonts w:eastAsiaTheme="majorEastAsia"/>
          <w:sz w:val="28"/>
        </w:rPr>
        <w:t>ЛОІППО</w:t>
      </w:r>
    </w:p>
    <w:p w14:paraId="5BDF78FC" w14:textId="77777777" w:rsidR="00226755" w:rsidRDefault="00226755" w:rsidP="00226755">
      <w:pPr>
        <w:pStyle w:val="af"/>
        <w:spacing w:before="0" w:beforeAutospacing="0" w:after="0" w:afterAutospacing="0" w:line="276" w:lineRule="auto"/>
        <w:ind w:firstLine="709"/>
        <w:jc w:val="both"/>
        <w:rPr>
          <w:sz w:val="28"/>
        </w:rPr>
      </w:pPr>
      <w:r w:rsidRPr="007F675D">
        <w:rPr>
          <w:sz w:val="28"/>
        </w:rPr>
        <w:t xml:space="preserve">Загальне враження педагогів у всіх районах переважно позитивне. Курси сприймаються як актуальні, змістовні та корисні для практичної діяльності. Найчастіше відзначаються професійність і фаховість викладачів, сучасний підхід до змісту навчання, орієнтація на практичне застосування знань, можливість обміну досвідом і підтримки з боку колег. Педагоги наголошують, що навчання допомагає краще орієнтуватися в освітніх нововведеннях, опановувати цифрові інструменти, оновлювати методики викладання та переосмислювати власну професійну діяльність. Водночас у всіх районах фіксуються критичні зауваження: повторюваність окремих лекцій </w:t>
      </w:r>
      <w:r>
        <w:rPr>
          <w:sz w:val="28"/>
        </w:rPr>
        <w:t>впродовж</w:t>
      </w:r>
      <w:r w:rsidRPr="007F675D">
        <w:rPr>
          <w:sz w:val="28"/>
        </w:rPr>
        <w:t xml:space="preserve"> років, недостатня кількість практичних занять, інколи невідповідність назв курсів їх реальному змісту, незручний час початку онлайн-занять, а також поодинокі випадки некоректної або авторитарної комунікації з боку окремих викладачів. Простежується чіткий запит на скорочення теоретичної частини і посилення практико-орієнтованого компоненту.</w:t>
      </w:r>
    </w:p>
    <w:p w14:paraId="37E7F2A5" w14:textId="77777777" w:rsidR="00C423C1" w:rsidRPr="007F675D" w:rsidRDefault="00C423C1" w:rsidP="00C423C1">
      <w:pPr>
        <w:pStyle w:val="af"/>
        <w:spacing w:before="0" w:beforeAutospacing="0" w:after="0" w:afterAutospacing="0" w:line="276" w:lineRule="auto"/>
        <w:ind w:firstLine="708"/>
        <w:jc w:val="both"/>
        <w:rPr>
          <w:sz w:val="28"/>
        </w:rPr>
      </w:pPr>
      <w:r>
        <w:rPr>
          <w:rStyle w:val="af0"/>
          <w:rFonts w:eastAsiaTheme="majorEastAsia"/>
          <w:sz w:val="28"/>
        </w:rPr>
        <w:t>2.</w:t>
      </w:r>
      <w:r w:rsidRPr="007F675D">
        <w:rPr>
          <w:rStyle w:val="af0"/>
          <w:rFonts w:eastAsiaTheme="majorEastAsia"/>
          <w:sz w:val="28"/>
        </w:rPr>
        <w:t xml:space="preserve">2 </w:t>
      </w:r>
      <w:r>
        <w:rPr>
          <w:rStyle w:val="af0"/>
          <w:rFonts w:eastAsiaTheme="majorEastAsia"/>
          <w:sz w:val="28"/>
        </w:rPr>
        <w:t xml:space="preserve"> </w:t>
      </w:r>
      <w:r w:rsidRPr="007F675D">
        <w:rPr>
          <w:rStyle w:val="af0"/>
          <w:rFonts w:eastAsiaTheme="majorEastAsia"/>
          <w:sz w:val="28"/>
        </w:rPr>
        <w:t>Чинники, що впливають на вибір педагогами місця проходження курсів підвищення кваліфікації</w:t>
      </w:r>
    </w:p>
    <w:p w14:paraId="58547B88" w14:textId="77777777" w:rsidR="00C423C1" w:rsidRDefault="00C423C1" w:rsidP="00C423C1">
      <w:pPr>
        <w:pStyle w:val="af"/>
        <w:spacing w:before="0" w:beforeAutospacing="0" w:after="0" w:afterAutospacing="0" w:line="276" w:lineRule="auto"/>
        <w:ind w:firstLine="709"/>
        <w:jc w:val="both"/>
        <w:rPr>
          <w:sz w:val="28"/>
        </w:rPr>
      </w:pPr>
      <w:r w:rsidRPr="007F675D">
        <w:rPr>
          <w:sz w:val="28"/>
        </w:rPr>
        <w:t>Вибір місця проходження курсів у всіх громадах визначається насамперед актуальністю тематики та можливістю її практичного застосування. Важливими чинниками є високий фаховий рівень викладачів, репутація закладу, широкий вибір курсів і форм навчання, зокрема поєднання очного, дистанційного та змішаного форматів. Значну роль відіграють доступність курсів, безкоштовність або прийнятна вартість, зручний графік, можливість поєднання навчання з основним робочим навантаженням, а також отримання сертифікатів державного зразка. Для багатьох педагогів важливими залишаються рекомендації колег, попередній позитивний досвід та можливість професійного спілкування з освітянами з інших громад. Територіальна зручність і локація, зокрема навчання у Львові або на базі місцевих закладів освіти, також впливають на вибір.</w:t>
      </w:r>
    </w:p>
    <w:p w14:paraId="2B9F0367" w14:textId="77777777" w:rsidR="001366EF" w:rsidRPr="007F675D" w:rsidRDefault="001366EF" w:rsidP="001366EF">
      <w:pPr>
        <w:pStyle w:val="af"/>
        <w:spacing w:before="0" w:beforeAutospacing="0" w:after="0" w:afterAutospacing="0" w:line="276" w:lineRule="auto"/>
        <w:ind w:firstLine="709"/>
        <w:jc w:val="both"/>
        <w:rPr>
          <w:sz w:val="28"/>
        </w:rPr>
      </w:pPr>
      <w:r>
        <w:rPr>
          <w:rStyle w:val="af0"/>
          <w:rFonts w:eastAsiaTheme="majorEastAsia"/>
          <w:sz w:val="28"/>
        </w:rPr>
        <w:t>2.</w:t>
      </w:r>
      <w:r w:rsidRPr="007F675D">
        <w:rPr>
          <w:rStyle w:val="af0"/>
          <w:rFonts w:eastAsiaTheme="majorEastAsia"/>
          <w:sz w:val="28"/>
        </w:rPr>
        <w:t xml:space="preserve">3 </w:t>
      </w:r>
      <w:r>
        <w:rPr>
          <w:rStyle w:val="af0"/>
          <w:rFonts w:eastAsiaTheme="majorEastAsia"/>
          <w:sz w:val="28"/>
        </w:rPr>
        <w:t xml:space="preserve"> </w:t>
      </w:r>
      <w:r w:rsidRPr="007F675D">
        <w:rPr>
          <w:rStyle w:val="af0"/>
          <w:rFonts w:eastAsiaTheme="majorEastAsia"/>
          <w:sz w:val="28"/>
        </w:rPr>
        <w:t>Застосування матеріалів курсів у практичній діяльності педагогів</w:t>
      </w:r>
    </w:p>
    <w:p w14:paraId="0E52588B" w14:textId="77777777" w:rsidR="001366EF" w:rsidRDefault="001366EF" w:rsidP="001366EF">
      <w:pPr>
        <w:pStyle w:val="af"/>
        <w:spacing w:before="0" w:beforeAutospacing="0" w:after="0" w:afterAutospacing="0" w:line="276" w:lineRule="auto"/>
        <w:ind w:firstLine="709"/>
        <w:jc w:val="both"/>
        <w:rPr>
          <w:sz w:val="28"/>
        </w:rPr>
      </w:pPr>
      <w:r w:rsidRPr="007F675D">
        <w:rPr>
          <w:sz w:val="28"/>
        </w:rPr>
        <w:t xml:space="preserve">У всіх районах педагоги активно використовують матеріали курсів у щоденній освітній практиці. Отримані знання застосовуються під час планування та проведення уроків, позакласної роботи, розробки навчальних програм, календарно-тематичних планів, дидактичних матеріалів, презентацій і цифрових ресурсів. Значна увага приділяється впровадженню сучасних методик навчання, </w:t>
      </w:r>
      <w:r w:rsidRPr="007F675D">
        <w:rPr>
          <w:sz w:val="28"/>
        </w:rPr>
        <w:lastRenderedPageBreak/>
        <w:t>використанню електронних платформ, симуляторів, онлайн-сервісів, а також роботі з учнями з особливими освітніми потребами. Курси сприяють професійному самоаналізу, формуванню нових підходів до оцінювання, розвитку проєктної діяльності, співпраці з батьками та громадою. Часто підкреслюється, що навчання задає вектор подальшого професійного розвитку педагога.</w:t>
      </w:r>
    </w:p>
    <w:p w14:paraId="09B99C5D" w14:textId="77777777" w:rsidR="00080190" w:rsidRPr="007F675D" w:rsidRDefault="00080190" w:rsidP="00080190">
      <w:pPr>
        <w:pStyle w:val="af"/>
        <w:spacing w:before="0" w:beforeAutospacing="0" w:after="0" w:afterAutospacing="0" w:line="276" w:lineRule="auto"/>
        <w:ind w:firstLine="709"/>
        <w:jc w:val="both"/>
        <w:rPr>
          <w:sz w:val="28"/>
        </w:rPr>
      </w:pPr>
      <w:r>
        <w:rPr>
          <w:rStyle w:val="af0"/>
          <w:rFonts w:eastAsiaTheme="majorEastAsia"/>
          <w:sz w:val="28"/>
        </w:rPr>
        <w:t>2.</w:t>
      </w:r>
      <w:r w:rsidRPr="007F675D">
        <w:rPr>
          <w:rStyle w:val="af0"/>
          <w:rFonts w:eastAsiaTheme="majorEastAsia"/>
          <w:sz w:val="28"/>
        </w:rPr>
        <w:t xml:space="preserve">4 </w:t>
      </w:r>
      <w:r>
        <w:rPr>
          <w:rStyle w:val="af0"/>
          <w:rFonts w:eastAsiaTheme="majorEastAsia"/>
          <w:sz w:val="28"/>
        </w:rPr>
        <w:t xml:space="preserve"> </w:t>
      </w:r>
      <w:r w:rsidRPr="007F675D">
        <w:rPr>
          <w:rStyle w:val="af0"/>
          <w:rFonts w:eastAsiaTheme="majorEastAsia"/>
          <w:sz w:val="28"/>
        </w:rPr>
        <w:t>Поширення отриманих знань, досвіду та навичок серед колег</w:t>
      </w:r>
    </w:p>
    <w:p w14:paraId="30B055EE" w14:textId="2555C494" w:rsidR="00080190" w:rsidRDefault="00080190" w:rsidP="00080190">
      <w:pPr>
        <w:pStyle w:val="af"/>
        <w:spacing w:before="0" w:beforeAutospacing="0" w:after="0" w:afterAutospacing="0" w:line="276" w:lineRule="auto"/>
        <w:ind w:firstLine="709"/>
        <w:jc w:val="both"/>
        <w:rPr>
          <w:sz w:val="28"/>
        </w:rPr>
      </w:pPr>
      <w:r w:rsidRPr="007F675D">
        <w:rPr>
          <w:sz w:val="28"/>
        </w:rPr>
        <w:t xml:space="preserve">Поширення результатів навчання має системний характер у всіх громадах. Педагоги передають знання через засідання </w:t>
      </w:r>
      <w:r>
        <w:rPr>
          <w:sz w:val="28"/>
        </w:rPr>
        <w:t>професійних спільнот</w:t>
      </w:r>
      <w:r w:rsidRPr="007F675D">
        <w:rPr>
          <w:sz w:val="28"/>
        </w:rPr>
        <w:t xml:space="preserve">, педагогічні ради, семінари, тренінги, майстер-класи, </w:t>
      </w:r>
      <w:r>
        <w:rPr>
          <w:sz w:val="28"/>
        </w:rPr>
        <w:t>показові</w:t>
      </w:r>
      <w:r w:rsidRPr="007F675D">
        <w:rPr>
          <w:sz w:val="28"/>
        </w:rPr>
        <w:t xml:space="preserve"> </w:t>
      </w:r>
      <w:proofErr w:type="spellStart"/>
      <w:r w:rsidRPr="007F675D">
        <w:rPr>
          <w:sz w:val="28"/>
        </w:rPr>
        <w:t>уроки</w:t>
      </w:r>
      <w:proofErr w:type="spellEnd"/>
      <w:r w:rsidRPr="007F675D">
        <w:rPr>
          <w:sz w:val="28"/>
        </w:rPr>
        <w:t xml:space="preserve"> та </w:t>
      </w:r>
      <w:proofErr w:type="spellStart"/>
      <w:r w:rsidRPr="007F675D">
        <w:rPr>
          <w:sz w:val="28"/>
        </w:rPr>
        <w:t>взаємовідвідування</w:t>
      </w:r>
      <w:proofErr w:type="spellEnd"/>
      <w:r w:rsidRPr="007F675D">
        <w:rPr>
          <w:sz w:val="28"/>
        </w:rPr>
        <w:t xml:space="preserve"> занять. Активно використовуються освітні платформи, особисті блоги, соціальні мережі, сайти закладів освіти, створюються спільні електронні ресурси та </w:t>
      </w:r>
      <w:proofErr w:type="spellStart"/>
      <w:r w:rsidRPr="007F675D">
        <w:rPr>
          <w:sz w:val="28"/>
        </w:rPr>
        <w:t>Google</w:t>
      </w:r>
      <w:proofErr w:type="spellEnd"/>
      <w:r w:rsidRPr="007F675D">
        <w:rPr>
          <w:sz w:val="28"/>
        </w:rPr>
        <w:t xml:space="preserve">-папки. Значну роль відіграє неформальне спілкування, наставництво, </w:t>
      </w:r>
      <w:proofErr w:type="spellStart"/>
      <w:r w:rsidRPr="007F675D">
        <w:rPr>
          <w:sz w:val="28"/>
        </w:rPr>
        <w:t>супервізія</w:t>
      </w:r>
      <w:proofErr w:type="spellEnd"/>
      <w:r w:rsidRPr="007F675D">
        <w:rPr>
          <w:sz w:val="28"/>
        </w:rPr>
        <w:t xml:space="preserve"> та так зване «сарафанне радіо». У результаті </w:t>
      </w:r>
      <w:r w:rsidR="00394522">
        <w:rPr>
          <w:sz w:val="28"/>
        </w:rPr>
        <w:t xml:space="preserve">- </w:t>
      </w:r>
      <w:r w:rsidRPr="007F675D">
        <w:rPr>
          <w:sz w:val="28"/>
        </w:rPr>
        <w:t>знання, здобуті на курсах, стають спільним ресурсом розвитку педагогічних колективів.</w:t>
      </w:r>
    </w:p>
    <w:p w14:paraId="31D442F9" w14:textId="77777777" w:rsidR="007F748C" w:rsidRPr="007F675D" w:rsidRDefault="007F748C" w:rsidP="007F748C">
      <w:pPr>
        <w:pStyle w:val="af"/>
        <w:spacing w:before="0" w:beforeAutospacing="0" w:after="0" w:afterAutospacing="0" w:line="276" w:lineRule="auto"/>
        <w:ind w:firstLine="709"/>
        <w:jc w:val="both"/>
        <w:rPr>
          <w:sz w:val="28"/>
        </w:rPr>
      </w:pPr>
      <w:r>
        <w:rPr>
          <w:rStyle w:val="af0"/>
          <w:rFonts w:eastAsiaTheme="majorEastAsia"/>
          <w:sz w:val="28"/>
        </w:rPr>
        <w:t>2.</w:t>
      </w:r>
      <w:r w:rsidRPr="007F675D">
        <w:rPr>
          <w:rStyle w:val="af0"/>
          <w:rFonts w:eastAsiaTheme="majorEastAsia"/>
          <w:sz w:val="28"/>
        </w:rPr>
        <w:t>5 Пропозиції та рекомендації щодо вдосконалення курсів підвищення кваліфікації</w:t>
      </w:r>
    </w:p>
    <w:p w14:paraId="371A1802" w14:textId="23B55D27" w:rsidR="007F748C" w:rsidRDefault="007F748C" w:rsidP="007F748C">
      <w:pPr>
        <w:pStyle w:val="af"/>
        <w:spacing w:before="0" w:beforeAutospacing="0" w:after="0" w:afterAutospacing="0" w:line="276" w:lineRule="auto"/>
        <w:ind w:firstLine="709"/>
        <w:jc w:val="both"/>
        <w:rPr>
          <w:sz w:val="28"/>
        </w:rPr>
      </w:pPr>
      <w:r>
        <w:rPr>
          <w:sz w:val="28"/>
        </w:rPr>
        <w:t>Педагогічні працівники у</w:t>
      </w:r>
      <w:r w:rsidRPr="007F675D">
        <w:rPr>
          <w:sz w:val="28"/>
        </w:rPr>
        <w:t>сі</w:t>
      </w:r>
      <w:r>
        <w:rPr>
          <w:sz w:val="28"/>
        </w:rPr>
        <w:t>х</w:t>
      </w:r>
      <w:r w:rsidRPr="007F675D">
        <w:rPr>
          <w:sz w:val="28"/>
        </w:rPr>
        <w:t xml:space="preserve"> район</w:t>
      </w:r>
      <w:r>
        <w:rPr>
          <w:sz w:val="28"/>
        </w:rPr>
        <w:t>ів</w:t>
      </w:r>
      <w:r w:rsidRPr="007F675D">
        <w:rPr>
          <w:sz w:val="28"/>
        </w:rPr>
        <w:t xml:space="preserve"> демонструють чіткий запит на збільшення частки практичних занять, практикумів і готових кейсів. Педагоги наполягають на розширенні очного формату навчання, зокрема в канікулярний період, із можливістю проживання </w:t>
      </w:r>
      <w:r>
        <w:rPr>
          <w:sz w:val="28"/>
        </w:rPr>
        <w:t xml:space="preserve">у Львові (у гуртожитку) </w:t>
      </w:r>
      <w:r w:rsidRPr="007F675D">
        <w:rPr>
          <w:sz w:val="28"/>
        </w:rPr>
        <w:t xml:space="preserve">та навчання на базі закладів освіти громад. Часто пропонується залучати до викладання педагогів-практиків, фахівців інших галузей, переможців конкурсів, тренерів НУШ. Окремо наголошується на необхідності курсів із психологічної підтримки, запобігання професійному вигоранню, </w:t>
      </w:r>
      <w:proofErr w:type="spellStart"/>
      <w:r w:rsidRPr="007F675D">
        <w:rPr>
          <w:sz w:val="28"/>
        </w:rPr>
        <w:t>домедичної</w:t>
      </w:r>
      <w:proofErr w:type="spellEnd"/>
      <w:r w:rsidRPr="007F675D">
        <w:rPr>
          <w:sz w:val="28"/>
        </w:rPr>
        <w:t xml:space="preserve"> допомоги, інклюзивного навчання, оцінювання в НУШ, роботи з освітніми втратами та використання штучного інтелекту. Стабільною є вимога забезпечити доступ до матеріалів курсів після завершення навчання та здійснювати відеозапис онлайн-занять. Також системно звучить прохання розпочинати дистанційні курси після 15:30–16:00 та краще узгоджувати графік з навчальним процесом у школах.</w:t>
      </w:r>
    </w:p>
    <w:p w14:paraId="062CC50B" w14:textId="77777777" w:rsidR="00E72023" w:rsidRPr="007F675D" w:rsidRDefault="00E72023" w:rsidP="00E72023">
      <w:pPr>
        <w:pStyle w:val="af"/>
        <w:spacing w:before="0" w:beforeAutospacing="0" w:after="0" w:afterAutospacing="0" w:line="276" w:lineRule="auto"/>
        <w:ind w:firstLine="709"/>
        <w:jc w:val="both"/>
        <w:rPr>
          <w:sz w:val="28"/>
        </w:rPr>
      </w:pPr>
      <w:r>
        <w:rPr>
          <w:rStyle w:val="af0"/>
          <w:rFonts w:eastAsiaTheme="majorEastAsia"/>
          <w:sz w:val="28"/>
        </w:rPr>
        <w:t>2.</w:t>
      </w:r>
      <w:r w:rsidRPr="007F675D">
        <w:rPr>
          <w:rStyle w:val="af0"/>
          <w:rFonts w:eastAsiaTheme="majorEastAsia"/>
          <w:sz w:val="28"/>
        </w:rPr>
        <w:t>6</w:t>
      </w:r>
      <w:r>
        <w:rPr>
          <w:rStyle w:val="af0"/>
          <w:rFonts w:eastAsiaTheme="majorEastAsia"/>
          <w:sz w:val="28"/>
        </w:rPr>
        <w:t xml:space="preserve"> </w:t>
      </w:r>
      <w:r w:rsidRPr="007F675D">
        <w:rPr>
          <w:rStyle w:val="af0"/>
          <w:rFonts w:eastAsiaTheme="majorEastAsia"/>
          <w:sz w:val="28"/>
        </w:rPr>
        <w:t xml:space="preserve"> Визначення педагогами потреб особистого професійного розвитку</w:t>
      </w:r>
    </w:p>
    <w:p w14:paraId="7E8FEFDD" w14:textId="77777777" w:rsidR="00E72023" w:rsidRPr="007F675D" w:rsidRDefault="00E72023" w:rsidP="00E72023">
      <w:pPr>
        <w:pStyle w:val="af"/>
        <w:spacing w:before="0" w:beforeAutospacing="0" w:after="0" w:afterAutospacing="0" w:line="276" w:lineRule="auto"/>
        <w:ind w:firstLine="709"/>
        <w:jc w:val="both"/>
        <w:rPr>
          <w:sz w:val="28"/>
        </w:rPr>
      </w:pPr>
      <w:r w:rsidRPr="007F675D">
        <w:rPr>
          <w:sz w:val="28"/>
        </w:rPr>
        <w:t>Узагальнено, потреби професійного розвитку педагоги визначають через самоаналіз і рефлексію власної діяльності, співвіднесення її з професійним стандартом учителя та вимогами чинного законодавства. Важливими орієнтирами є результати моніторингу якості освіти, зворотний зв’язок від колег, адміністрації, учнів і батьків, а також аналіз освітніх інновацій і викликів сучасності. Поширеною практикою є використання SWOT-аналізу, планування індивідуальної траєкторії професійного розвитку, врахування запитів НУШ, потреб учнів і стратегічних цілей закладу освіти. Педагоги також орієнтуються на вимоги атестації, рекомендації МОН та внутрішню мотивацію до професійного зростання.</w:t>
      </w:r>
    </w:p>
    <w:p w14:paraId="3D1C0314" w14:textId="471005E9" w:rsidR="006D4021" w:rsidRDefault="008924A9" w:rsidP="008924A9">
      <w:pPr>
        <w:pStyle w:val="af"/>
        <w:numPr>
          <w:ilvl w:val="0"/>
          <w:numId w:val="1"/>
        </w:numPr>
        <w:spacing w:before="0" w:beforeAutospacing="0" w:after="0" w:afterAutospacing="0" w:line="276" w:lineRule="auto"/>
        <w:jc w:val="both"/>
        <w:rPr>
          <w:b/>
          <w:bCs/>
          <w:sz w:val="28"/>
        </w:rPr>
      </w:pPr>
      <w:r w:rsidRPr="008924A9">
        <w:rPr>
          <w:b/>
          <w:bCs/>
          <w:sz w:val="28"/>
        </w:rPr>
        <w:lastRenderedPageBreak/>
        <w:t>Загальні висновки</w:t>
      </w:r>
    </w:p>
    <w:p w14:paraId="50A7E7CA" w14:textId="1C538B61" w:rsidR="008924A9" w:rsidRPr="008924A9" w:rsidRDefault="008924A9" w:rsidP="008924A9">
      <w:pPr>
        <w:spacing w:after="0" w:line="276" w:lineRule="auto"/>
        <w:ind w:firstLine="360"/>
        <w:jc w:val="both"/>
        <w:rPr>
          <w:rFonts w:eastAsia="Times New Roman" w:cs="Times New Roman"/>
          <w:sz w:val="28"/>
          <w:szCs w:val="28"/>
          <w:lang w:eastAsia="uk-UA"/>
        </w:rPr>
      </w:pPr>
      <w:r w:rsidRPr="008924A9">
        <w:rPr>
          <w:rFonts w:eastAsia="Times New Roman" w:cs="Times New Roman"/>
          <w:sz w:val="28"/>
          <w:szCs w:val="28"/>
          <w:lang w:eastAsia="uk-UA"/>
        </w:rPr>
        <w:t>Система підвищення кваліфікації в КЗ ЛОР ЛОІППО загалом відповідає професійним потребам педагогів Львівської області та сприймається як важливий ресурс професійного розвитку. Водночас результати аналізу свідчать про необхідність подальшого оновлення змісту курсів, посилення їх практичної спрямованості та більш гнучкої організації навчального процесу.</w:t>
      </w:r>
    </w:p>
    <w:p w14:paraId="7AD0D59E" w14:textId="60AF92AB" w:rsidR="008924A9" w:rsidRDefault="008924A9" w:rsidP="008924A9">
      <w:pPr>
        <w:pStyle w:val="af"/>
        <w:numPr>
          <w:ilvl w:val="0"/>
          <w:numId w:val="1"/>
        </w:numPr>
        <w:spacing w:before="0" w:beforeAutospacing="0" w:after="0" w:afterAutospacing="0" w:line="276" w:lineRule="auto"/>
        <w:jc w:val="both"/>
        <w:rPr>
          <w:b/>
          <w:bCs/>
          <w:sz w:val="28"/>
        </w:rPr>
      </w:pPr>
      <w:r>
        <w:rPr>
          <w:b/>
          <w:bCs/>
          <w:sz w:val="28"/>
        </w:rPr>
        <w:t>Реком</w:t>
      </w:r>
      <w:r w:rsidR="00297E08">
        <w:rPr>
          <w:b/>
          <w:bCs/>
          <w:sz w:val="28"/>
        </w:rPr>
        <w:t>е</w:t>
      </w:r>
      <w:r>
        <w:rPr>
          <w:b/>
          <w:bCs/>
          <w:sz w:val="28"/>
        </w:rPr>
        <w:t>ндації</w:t>
      </w:r>
    </w:p>
    <w:p w14:paraId="1EA7F31B" w14:textId="1C8880BC" w:rsidR="008924A9" w:rsidRPr="0013163E" w:rsidRDefault="008924A9" w:rsidP="0013163E">
      <w:pPr>
        <w:spacing w:after="0" w:line="276" w:lineRule="auto"/>
        <w:ind w:firstLine="360"/>
        <w:jc w:val="both"/>
        <w:rPr>
          <w:sz w:val="28"/>
          <w:szCs w:val="28"/>
        </w:rPr>
      </w:pPr>
      <w:r w:rsidRPr="008924A9">
        <w:rPr>
          <w:rFonts w:eastAsia="Times New Roman" w:cs="Times New Roman"/>
          <w:sz w:val="28"/>
          <w:szCs w:val="28"/>
          <w:lang w:eastAsia="uk-UA"/>
        </w:rPr>
        <w:t>Доцільно посилити практико-орієнтований компонент курсів, розширити очні та змішані формати навчання, удосконалити планування графіків проведення занять та забезпечити сталі механізми доступу до навчальних матеріалів після завершення курсів. Окремої уваги потребує розвиток курсів із психологічної підтримки педагогів, інклюзивної освіти, оцінювання в НУШ та використання сучасних цифрових технологій</w:t>
      </w:r>
      <w:r w:rsidR="0013163E">
        <w:rPr>
          <w:rFonts w:eastAsia="Times New Roman" w:cs="Times New Roman"/>
          <w:sz w:val="28"/>
          <w:szCs w:val="28"/>
          <w:lang w:eastAsia="uk-UA"/>
        </w:rPr>
        <w:t xml:space="preserve"> і ШІ</w:t>
      </w:r>
      <w:r w:rsidRPr="008924A9">
        <w:rPr>
          <w:rFonts w:eastAsia="Times New Roman" w:cs="Times New Roman"/>
          <w:sz w:val="28"/>
          <w:szCs w:val="28"/>
          <w:lang w:eastAsia="uk-UA"/>
        </w:rPr>
        <w:t>.</w:t>
      </w:r>
    </w:p>
    <w:p w14:paraId="17D7B84D" w14:textId="77777777" w:rsidR="007F748C" w:rsidRPr="007F675D" w:rsidRDefault="007F748C" w:rsidP="007F748C">
      <w:pPr>
        <w:pStyle w:val="af"/>
        <w:spacing w:before="0" w:beforeAutospacing="0" w:after="0" w:afterAutospacing="0" w:line="276" w:lineRule="auto"/>
        <w:jc w:val="both"/>
        <w:rPr>
          <w:sz w:val="28"/>
        </w:rPr>
      </w:pPr>
    </w:p>
    <w:p w14:paraId="5EFE90CA" w14:textId="77777777" w:rsidR="00080190" w:rsidRPr="007F675D" w:rsidRDefault="00080190" w:rsidP="00080190">
      <w:pPr>
        <w:pStyle w:val="af"/>
        <w:spacing w:before="0" w:beforeAutospacing="0" w:after="0" w:afterAutospacing="0" w:line="276" w:lineRule="auto"/>
        <w:jc w:val="both"/>
        <w:rPr>
          <w:sz w:val="28"/>
        </w:rPr>
      </w:pPr>
    </w:p>
    <w:p w14:paraId="2ACE060A" w14:textId="77777777" w:rsidR="001366EF" w:rsidRPr="007F675D" w:rsidRDefault="001366EF" w:rsidP="001366EF">
      <w:pPr>
        <w:pStyle w:val="af"/>
        <w:spacing w:before="0" w:beforeAutospacing="0" w:after="0" w:afterAutospacing="0" w:line="276" w:lineRule="auto"/>
        <w:jc w:val="both"/>
        <w:rPr>
          <w:sz w:val="28"/>
        </w:rPr>
      </w:pPr>
    </w:p>
    <w:p w14:paraId="5D6C4B8A" w14:textId="77777777" w:rsidR="00C423C1" w:rsidRPr="007F675D" w:rsidRDefault="00C423C1" w:rsidP="00C423C1">
      <w:pPr>
        <w:pStyle w:val="af"/>
        <w:spacing w:before="0" w:beforeAutospacing="0" w:after="0" w:afterAutospacing="0" w:line="276" w:lineRule="auto"/>
        <w:jc w:val="both"/>
        <w:rPr>
          <w:sz w:val="28"/>
        </w:rPr>
      </w:pPr>
    </w:p>
    <w:p w14:paraId="3268B492" w14:textId="2731517C" w:rsidR="00226755" w:rsidRPr="00226755" w:rsidRDefault="00226755" w:rsidP="00226755">
      <w:pPr>
        <w:spacing w:after="0" w:line="276" w:lineRule="auto"/>
        <w:ind w:left="360"/>
        <w:jc w:val="both"/>
        <w:rPr>
          <w:rFonts w:eastAsia="Times New Roman" w:cs="Times New Roman"/>
          <w:b/>
          <w:bCs/>
          <w:sz w:val="28"/>
          <w:szCs w:val="28"/>
          <w:lang w:eastAsia="uk-UA"/>
        </w:rPr>
      </w:pPr>
    </w:p>
    <w:p w14:paraId="597A8961" w14:textId="77777777" w:rsidR="00FC3AEF" w:rsidRPr="00FC3AEF" w:rsidRDefault="00FC3AEF" w:rsidP="00FC3AEF">
      <w:pPr>
        <w:rPr>
          <w:bCs/>
          <w:sz w:val="28"/>
          <w:szCs w:val="28"/>
        </w:rPr>
      </w:pPr>
    </w:p>
    <w:p w14:paraId="534653F5" w14:textId="77777777" w:rsidR="00FC3AEF" w:rsidRPr="00687132" w:rsidRDefault="00FC3AEF" w:rsidP="00FC3AEF">
      <w:pPr>
        <w:pStyle w:val="a9"/>
        <w:spacing w:after="0" w:line="360" w:lineRule="auto"/>
        <w:ind w:left="1069"/>
        <w:jc w:val="both"/>
        <w:rPr>
          <w:rFonts w:eastAsia="Times New Roman" w:cs="Times New Roman"/>
          <w:sz w:val="28"/>
          <w:szCs w:val="28"/>
          <w:lang w:eastAsia="uk-UA"/>
        </w:rPr>
      </w:pPr>
    </w:p>
    <w:p w14:paraId="54DF68AE" w14:textId="77777777" w:rsidR="00FC3AEF" w:rsidRDefault="00FC3AEF" w:rsidP="00FC3AEF">
      <w:pPr>
        <w:spacing w:after="0" w:line="276" w:lineRule="auto"/>
        <w:ind w:left="360" w:firstLine="348"/>
        <w:jc w:val="both"/>
        <w:rPr>
          <w:rFonts w:eastAsia="Times New Roman" w:cs="Times New Roman"/>
          <w:sz w:val="28"/>
          <w:szCs w:val="28"/>
          <w:lang w:eastAsia="uk-UA"/>
        </w:rPr>
      </w:pPr>
    </w:p>
    <w:p w14:paraId="0E897B7D" w14:textId="77777777" w:rsidR="00FC3AEF" w:rsidRPr="00FC3AEF" w:rsidRDefault="00FC3AEF" w:rsidP="00FC3AEF">
      <w:pPr>
        <w:spacing w:after="0" w:line="276" w:lineRule="auto"/>
        <w:ind w:left="360" w:firstLine="348"/>
        <w:jc w:val="both"/>
        <w:rPr>
          <w:rFonts w:eastAsia="Times New Roman" w:cs="Times New Roman"/>
          <w:sz w:val="28"/>
          <w:szCs w:val="28"/>
          <w:lang w:eastAsia="uk-UA"/>
        </w:rPr>
      </w:pPr>
    </w:p>
    <w:p w14:paraId="4EBA2B87" w14:textId="77777777" w:rsidR="00FC3AEF" w:rsidRPr="00FC3AEF" w:rsidRDefault="00FC3AEF" w:rsidP="00FC3AEF">
      <w:pPr>
        <w:pStyle w:val="a9"/>
        <w:jc w:val="both"/>
        <w:rPr>
          <w:b/>
          <w:bCs/>
          <w:sz w:val="28"/>
          <w:szCs w:val="28"/>
        </w:rPr>
      </w:pPr>
    </w:p>
    <w:sectPr w:rsidR="00FC3AEF" w:rsidRPr="00FC3A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7A"/>
    <w:multiLevelType w:val="hybridMultilevel"/>
    <w:tmpl w:val="28A00D6C"/>
    <w:lvl w:ilvl="0" w:tplc="9EC2FDB8">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47D5C"/>
    <w:multiLevelType w:val="hybridMultilevel"/>
    <w:tmpl w:val="C1FC84D4"/>
    <w:lvl w:ilvl="0" w:tplc="A4002968">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0E16A6"/>
    <w:multiLevelType w:val="hybridMultilevel"/>
    <w:tmpl w:val="6EF665D4"/>
    <w:lvl w:ilvl="0" w:tplc="1F52088E">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676D0DC9"/>
    <w:multiLevelType w:val="hybridMultilevel"/>
    <w:tmpl w:val="55BC81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89106733">
    <w:abstractNumId w:val="3"/>
  </w:num>
  <w:num w:numId="2" w16cid:durableId="928923371">
    <w:abstractNumId w:val="2"/>
  </w:num>
  <w:num w:numId="3" w16cid:durableId="2123258507">
    <w:abstractNumId w:val="1"/>
  </w:num>
  <w:num w:numId="4" w16cid:durableId="30346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83"/>
    <w:rsid w:val="00080190"/>
    <w:rsid w:val="000D51A2"/>
    <w:rsid w:val="0013163E"/>
    <w:rsid w:val="001366EF"/>
    <w:rsid w:val="00226755"/>
    <w:rsid w:val="002626E6"/>
    <w:rsid w:val="00297E08"/>
    <w:rsid w:val="002A4533"/>
    <w:rsid w:val="00350B2C"/>
    <w:rsid w:val="00394522"/>
    <w:rsid w:val="003A7DAA"/>
    <w:rsid w:val="0052585F"/>
    <w:rsid w:val="00550977"/>
    <w:rsid w:val="00677777"/>
    <w:rsid w:val="006D4021"/>
    <w:rsid w:val="00725A5D"/>
    <w:rsid w:val="007A0A21"/>
    <w:rsid w:val="007C2683"/>
    <w:rsid w:val="007F748C"/>
    <w:rsid w:val="00826777"/>
    <w:rsid w:val="008924A9"/>
    <w:rsid w:val="009E6F7A"/>
    <w:rsid w:val="00B35C84"/>
    <w:rsid w:val="00C423C1"/>
    <w:rsid w:val="00CA434F"/>
    <w:rsid w:val="00CD16C9"/>
    <w:rsid w:val="00E72023"/>
    <w:rsid w:val="00F3442E"/>
    <w:rsid w:val="00FC3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5CAC"/>
  <w15:chartTrackingRefBased/>
  <w15:docId w15:val="{EA42C814-D5C2-4727-9CB4-99CB422B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2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2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26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C26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C268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C26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C268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C268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C268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6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26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268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C268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C268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C268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C268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C268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C268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C2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2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6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7C268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C2683"/>
    <w:pPr>
      <w:spacing w:before="160"/>
      <w:jc w:val="center"/>
    </w:pPr>
    <w:rPr>
      <w:i/>
      <w:iCs/>
      <w:color w:val="404040" w:themeColor="text1" w:themeTint="BF"/>
    </w:rPr>
  </w:style>
  <w:style w:type="character" w:customStyle="1" w:styleId="a8">
    <w:name w:val="Цитата Знак"/>
    <w:basedOn w:val="a0"/>
    <w:link w:val="a7"/>
    <w:uiPriority w:val="29"/>
    <w:rsid w:val="007C2683"/>
    <w:rPr>
      <w:i/>
      <w:iCs/>
      <w:color w:val="404040" w:themeColor="text1" w:themeTint="BF"/>
    </w:rPr>
  </w:style>
  <w:style w:type="paragraph" w:styleId="a9">
    <w:name w:val="List Paragraph"/>
    <w:basedOn w:val="a"/>
    <w:uiPriority w:val="34"/>
    <w:qFormat/>
    <w:rsid w:val="007C2683"/>
    <w:pPr>
      <w:ind w:left="720"/>
      <w:contextualSpacing/>
    </w:pPr>
  </w:style>
  <w:style w:type="character" w:styleId="aa">
    <w:name w:val="Intense Emphasis"/>
    <w:basedOn w:val="a0"/>
    <w:uiPriority w:val="21"/>
    <w:qFormat/>
    <w:rsid w:val="007C2683"/>
    <w:rPr>
      <w:i/>
      <w:iCs/>
      <w:color w:val="2F5496" w:themeColor="accent1" w:themeShade="BF"/>
    </w:rPr>
  </w:style>
  <w:style w:type="paragraph" w:styleId="ab">
    <w:name w:val="Intense Quote"/>
    <w:basedOn w:val="a"/>
    <w:next w:val="a"/>
    <w:link w:val="ac"/>
    <w:uiPriority w:val="30"/>
    <w:qFormat/>
    <w:rsid w:val="007C2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C2683"/>
    <w:rPr>
      <w:i/>
      <w:iCs/>
      <w:color w:val="2F5496" w:themeColor="accent1" w:themeShade="BF"/>
    </w:rPr>
  </w:style>
  <w:style w:type="character" w:styleId="ad">
    <w:name w:val="Intense Reference"/>
    <w:basedOn w:val="a0"/>
    <w:uiPriority w:val="32"/>
    <w:qFormat/>
    <w:rsid w:val="007C2683"/>
    <w:rPr>
      <w:b/>
      <w:bCs/>
      <w:smallCaps/>
      <w:color w:val="2F5496" w:themeColor="accent1" w:themeShade="BF"/>
      <w:spacing w:val="5"/>
    </w:rPr>
  </w:style>
  <w:style w:type="character" w:styleId="ae">
    <w:name w:val="Hyperlink"/>
    <w:basedOn w:val="a0"/>
    <w:uiPriority w:val="99"/>
    <w:unhideWhenUsed/>
    <w:rsid w:val="00FC3AEF"/>
    <w:rPr>
      <w:color w:val="0000FF"/>
      <w:u w:val="single"/>
    </w:rPr>
  </w:style>
  <w:style w:type="paragraph" w:styleId="af">
    <w:name w:val="Normal (Web)"/>
    <w:basedOn w:val="a"/>
    <w:uiPriority w:val="99"/>
    <w:semiHidden/>
    <w:unhideWhenUsed/>
    <w:rsid w:val="00226755"/>
    <w:pPr>
      <w:spacing w:before="100" w:beforeAutospacing="1" w:after="100" w:afterAutospacing="1" w:line="240" w:lineRule="auto"/>
    </w:pPr>
    <w:rPr>
      <w:rFonts w:eastAsia="Times New Roman" w:cs="Times New Roman"/>
      <w:kern w:val="0"/>
      <w:szCs w:val="24"/>
      <w:lang w:eastAsia="uk-UA"/>
      <w14:ligatures w14:val="none"/>
    </w:rPr>
  </w:style>
  <w:style w:type="character" w:styleId="af0">
    <w:name w:val="Strong"/>
    <w:basedOn w:val="a0"/>
    <w:uiPriority w:val="22"/>
    <w:qFormat/>
    <w:rsid w:val="00226755"/>
    <w:rPr>
      <w:b/>
      <w:bCs/>
    </w:rPr>
  </w:style>
  <w:style w:type="character" w:styleId="af1">
    <w:name w:val="FollowedHyperlink"/>
    <w:basedOn w:val="a0"/>
    <w:uiPriority w:val="99"/>
    <w:semiHidden/>
    <w:unhideWhenUsed/>
    <w:rsid w:val="0052585F"/>
    <w:rPr>
      <w:color w:val="954F72" w:themeColor="followedHyperlink"/>
      <w:u w:val="single"/>
    </w:rPr>
  </w:style>
  <w:style w:type="character" w:styleId="af2">
    <w:name w:val="Unresolved Mention"/>
    <w:basedOn w:val="a0"/>
    <w:uiPriority w:val="99"/>
    <w:semiHidden/>
    <w:unhideWhenUsed/>
    <w:rsid w:val="00F3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ppo.lviv.ua/%d0%bb%d0%be%d1%96%d0%bf%d0%bf%d0%be-%d0%bf%d1%96%d0%b4%d1%82%d1%80%d0%b8%d0%bc%d1%83%d1%94-%d0%bf%d1%80%d0%be%d1%84%d0%b5%d1%81%d1%96%d0%b9%d0%bd%d0%b8%d0%b9-%d1%80%d0%be%d0%b7%d0%b2%d0%b8%d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ippo.lviv.ua/%d0%ba%d1%80%d1%83%d0%b3%d0%bb%d0%b8%d0%b9-%d1%81%d1%82%d1%96%d0%bb-%d1%83-%d0%bb%d0%be%d1%96%d0%bf%d0%bf%d0%be-%d1%81%d0%bf%d1%96%d0%bb%d1%8c%d0%bd%d1%96-%d0%ba%d1%80%d0%be%d0%ba%d0%b8-%d0%b4%d0%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ippo.lviv.ua/%d0%bf%d1%80%d0%be%d0%b4%d0%be%d0%b2%d0%b6%d1%83%d1%94%d0%bc%d0%be-%d0%be%d0%b1%d0%b3%d0%be%d0%b2%d0%be%d1%80%d1%8e%d0%b2%d0%b0%d1%82%d0%b8-%d0%b7-%d0%bf%d0%b5%d0%b4%d0%b0%d0%b3%d0%be%d0%b3%d0%b0-2/" TargetMode="External"/><Relationship Id="rId11" Type="http://schemas.openxmlformats.org/officeDocument/2006/relationships/hyperlink" Target="https://loippo.lviv.ua/%d0%bf%d1%80%d0%be%d0%b4%d0%be%d0%b2%d0%b6%d1%83%d1%94%d0%bc%d0%be-%d0%be%d0%b1%d0%b3%d0%be%d0%b2%d0%be%d1%80%d1%8e%d0%b2%d0%b0%d1%82%d0%b8-%d0%b7-%d0%bf%d0%b5%d0%b4%d0%b0%d0%b3%d0%be%d0%b3%d0%b0/" TargetMode="External"/><Relationship Id="rId5" Type="http://schemas.openxmlformats.org/officeDocument/2006/relationships/hyperlink" Target="https://loippo.lviv.ua/%d0%ba%d1%80%d1%83%d0%b3%d0%bb%d0%b8%d0%b9-%d1%81%d1%82%d1%96%d0%bb-%d1%83-%d0%b4%d1%80%d0%be%d0%b3%d0%be%d0%b1%d0%b8%d1%87%d1%96-%d0%bf%d1%80%d0%be-%d0%b7%d0%b0%d0%b1%d0%b5%d0%b7%d0%bf%d0%b5%d1%87/" TargetMode="External"/><Relationship Id="rId10" Type="http://schemas.openxmlformats.org/officeDocument/2006/relationships/hyperlink" Target="https://loippo.lviv.ua/%D1%8F%D0%BA-%D0%B7%D0%B0%D0%B1%D0%B5%D0%B7%D0%BF%D0%B5%D1%87%D0%B8%D1%82%D0%B8-%D1%8F%D0%BA%D1%96%D1%81%D0%BD%D0%B8%D0%B9-%D0%BF%D1%80%D0%BE%D1%84%D0%B5%D1%81%D1%96%D0%B9%D0%BD%D0%B8%D0%B9-%D1%80/" TargetMode="External"/><Relationship Id="rId4" Type="http://schemas.openxmlformats.org/officeDocument/2006/relationships/webSettings" Target="webSettings.xml"/><Relationship Id="rId9" Type="http://schemas.openxmlformats.org/officeDocument/2006/relationships/hyperlink" Target="https://loippo.lviv.ua/%d0%ba%d1%80%d1%83%d0%b3%d0%bb%d0%b8%d0%b9-%d1%81%d1%82%d1%96%d0%bb-%d1%83-%d1%81%d0%b0%d0%bc%d0%b1%d0%be%d1%80%d1%96-%d1%8f%d0%ba-%d0%bf%d0%be%d0%ba%d1%80%d0%b0%d1%89%d0%b8%d1%82%d0%b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6567</Words>
  <Characters>3744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 Foundation</dc:creator>
  <cp:keywords/>
  <dc:description/>
  <cp:lastModifiedBy>Lego Foundation</cp:lastModifiedBy>
  <cp:revision>20</cp:revision>
  <dcterms:created xsi:type="dcterms:W3CDTF">2026-03-15T12:50:00Z</dcterms:created>
  <dcterms:modified xsi:type="dcterms:W3CDTF">2026-03-22T13:51:00Z</dcterms:modified>
</cp:coreProperties>
</file>