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3-5</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«Дитячий розвиток під мікроскопом: що має насторожити? Поради для батьків та фахівців»</w:t>
      </w:r>
    </w:p>
    <w:p w:rsidR="00000000" w:rsidDel="00000000" w:rsidP="00000000" w:rsidRDefault="00000000" w:rsidRPr="00000000" w14:paraId="0000000A">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(автори: фахівці (консультанти) ІРЦ Ольга ГУНЧАК , Роксоляна ЮСЬКЕВИЧ, Лідія ГУПАЛО)</w:t>
      </w:r>
    </w:p>
    <w:p w:rsidR="00000000" w:rsidDel="00000000" w:rsidP="00000000" w:rsidRDefault="00000000" w:rsidRPr="00000000" w14:paraId="0000000B">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(рецензенти: Галина ВАРХОЛИК та Галина КУЗЬ)</w:t>
      </w:r>
    </w:p>
    <w:p w:rsidR="00000000" w:rsidDel="00000000" w:rsidP="00000000" w:rsidRDefault="00000000" w:rsidRPr="00000000" w14:paraId="0000000C">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Галини ВАРХОЛИК, завідувача обласного ресурсного центру підтримки інклюзивної освіти, про зміст </w:t>
      </w:r>
      <w:r w:rsidDel="00000000" w:rsidR="00000000" w:rsidRPr="00000000">
        <w:rPr>
          <w:rFonts w:ascii="Times New Roman" w:cs="Times New Roman" w:eastAsia="Times New Roman" w:hAnsi="Times New Roman"/>
          <w:sz w:val="28"/>
          <w:szCs w:val="28"/>
          <w:rtl w:val="0"/>
        </w:rPr>
        <w:t xml:space="preserve">посібника «Дитячий розвиток під мікроскопом: що має насторожити? Поради для батьків та фахівців»,</w:t>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науково-методична рада</w:t>
      </w:r>
    </w:p>
    <w:p w:rsidR="00000000" w:rsidDel="00000000" w:rsidP="00000000" w:rsidRDefault="00000000" w:rsidRPr="00000000" w14:paraId="0000000F">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11">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посібник «Дитячий розвиток під мікроскопом: що має насторожити? Поради для батьків та фахівців»</w:t>
      </w:r>
    </w:p>
    <w:p w:rsidR="00000000" w:rsidDel="00000000" w:rsidP="00000000" w:rsidRDefault="00000000" w:rsidRPr="00000000" w14:paraId="00000012">
      <w:pPr>
        <w:tabs>
          <w:tab w:val="left" w:leader="none" w:pos="81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фахівці (консультанти) ІРЦ Ольга ГУНЧАК, Роксоляна ЮСЬКЕВИЧ, Лідія ГУПАЛО, рецензенти: Галина ВАРХОЛИК та Галина КУЗЬ.</w:t>
      </w:r>
    </w:p>
    <w:p w:rsidR="00000000" w:rsidDel="00000000" w:rsidP="00000000" w:rsidRDefault="00000000" w:rsidRPr="00000000" w14:paraId="00000013">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«за»___17______</w:t>
      </w:r>
      <w:r w:rsidDel="00000000" w:rsidR="00000000" w:rsidRPr="00000000">
        <w:rPr>
          <w:rtl w:val="0"/>
        </w:rPr>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8">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«утримались»__1_____</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